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CF65A" w14:textId="76D270C4" w:rsidR="00E068F7" w:rsidRPr="007241F0" w:rsidRDefault="00E068F7" w:rsidP="00E068F7">
      <w:pPr>
        <w:pStyle w:val="Tytu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 w:rsidRPr="007241F0">
        <w:rPr>
          <w:rFonts w:ascii="Times New Roman" w:hAnsi="Times New Roman"/>
          <w:sz w:val="24"/>
          <w:szCs w:val="24"/>
          <w:lang w:val="pl-PL"/>
        </w:rPr>
        <w:t xml:space="preserve">wymagania dla </w:t>
      </w:r>
      <w:r>
        <w:rPr>
          <w:rFonts w:ascii="Times New Roman" w:hAnsi="Times New Roman"/>
          <w:sz w:val="24"/>
          <w:szCs w:val="24"/>
          <w:lang w:val="pl-PL"/>
        </w:rPr>
        <w:t xml:space="preserve">rozszerzenia funkcjonalności </w:t>
      </w:r>
      <w:r w:rsidRPr="007241F0">
        <w:rPr>
          <w:rFonts w:ascii="Times New Roman" w:hAnsi="Times New Roman"/>
          <w:sz w:val="24"/>
          <w:szCs w:val="24"/>
          <w:lang w:val="pl-PL"/>
        </w:rPr>
        <w:t>bazy danych obszarów natura 2000</w:t>
      </w:r>
    </w:p>
    <w:p w14:paraId="19C38C60" w14:textId="77777777" w:rsidR="00E068F7" w:rsidRDefault="00E068F7" w:rsidP="00E068F7">
      <w:pPr>
        <w:pStyle w:val="Nagwek1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 w:rsidRPr="007241F0">
        <w:rPr>
          <w:rFonts w:ascii="Times New Roman" w:hAnsi="Times New Roman"/>
          <w:sz w:val="24"/>
          <w:szCs w:val="24"/>
          <w:lang w:val="pl-PL"/>
        </w:rPr>
        <w:t>wstęp</w:t>
      </w:r>
    </w:p>
    <w:p w14:paraId="7DED02C2" w14:textId="77777777" w:rsidR="00E068F7" w:rsidRPr="00AA5A35" w:rsidRDefault="00E068F7" w:rsidP="00E068F7">
      <w:pPr>
        <w:rPr>
          <w:lang w:val="pl-PL"/>
        </w:rPr>
      </w:pPr>
    </w:p>
    <w:p w14:paraId="088FBC0C" w14:textId="4A79BD63" w:rsidR="00E068F7" w:rsidRDefault="00E068F7" w:rsidP="001E3E0C">
      <w:pPr>
        <w:tabs>
          <w:tab w:val="left" w:pos="360"/>
          <w:tab w:val="left" w:pos="1054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241F0">
        <w:rPr>
          <w:rFonts w:ascii="Times New Roman" w:hAnsi="Times New Roman"/>
          <w:sz w:val="24"/>
          <w:szCs w:val="24"/>
          <w:lang w:val="pl-PL"/>
        </w:rPr>
        <w:tab/>
      </w:r>
      <w:r w:rsidRPr="001E3E0C">
        <w:rPr>
          <w:rFonts w:ascii="Times New Roman" w:hAnsi="Times New Roman"/>
          <w:sz w:val="24"/>
          <w:szCs w:val="24"/>
          <w:lang w:val="pl-PL"/>
        </w:rPr>
        <w:t xml:space="preserve">Zamawiający zakłada rozbudowę systemu opartego na architekturze wielowarstwowej </w:t>
      </w:r>
      <w:r w:rsidR="00080C60" w:rsidRPr="00F261A4">
        <w:rPr>
          <w:rFonts w:ascii="Times New Roman" w:hAnsi="Times New Roman"/>
          <w:sz w:val="24"/>
          <w:szCs w:val="24"/>
          <w:lang w:val="pl-PL"/>
        </w:rPr>
        <w:t xml:space="preserve">wykorzystującej </w:t>
      </w:r>
      <w:r w:rsidRPr="00F261A4">
        <w:rPr>
          <w:rFonts w:ascii="Times New Roman" w:hAnsi="Times New Roman"/>
          <w:sz w:val="24"/>
          <w:szCs w:val="24"/>
          <w:lang w:val="pl-PL"/>
        </w:rPr>
        <w:t>sieć Internet</w:t>
      </w:r>
      <w:r w:rsidR="00DE0516" w:rsidRPr="00F261A4">
        <w:rPr>
          <w:rFonts w:ascii="Times New Roman" w:hAnsi="Times New Roman"/>
          <w:sz w:val="24"/>
          <w:szCs w:val="24"/>
          <w:lang w:val="pl-PL"/>
        </w:rPr>
        <w:t>.</w:t>
      </w:r>
      <w:r w:rsidRPr="00F261A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DE0516" w:rsidRPr="00F261A4">
        <w:rPr>
          <w:rFonts w:ascii="Times New Roman" w:hAnsi="Times New Roman"/>
          <w:sz w:val="24"/>
          <w:szCs w:val="24"/>
          <w:lang w:val="pl-PL"/>
        </w:rPr>
        <w:t xml:space="preserve">Użytkownicy mają dostęp do systemu poprzez przeglądarkę internetową. </w:t>
      </w:r>
      <w:r w:rsidR="00A16ED2" w:rsidRPr="00F261A4">
        <w:rPr>
          <w:rFonts w:ascii="Times New Roman" w:hAnsi="Times New Roman"/>
          <w:sz w:val="24"/>
          <w:szCs w:val="24"/>
          <w:lang w:val="pl-PL"/>
        </w:rPr>
        <w:t>Zamówienie powinno zostać</w:t>
      </w:r>
      <w:bookmarkStart w:id="0" w:name="_GoBack"/>
      <w:bookmarkEnd w:id="0"/>
      <w:r w:rsidR="00A16ED2" w:rsidRPr="00F261A4">
        <w:rPr>
          <w:rFonts w:ascii="Times New Roman" w:hAnsi="Times New Roman"/>
          <w:sz w:val="24"/>
          <w:szCs w:val="24"/>
          <w:lang w:val="pl-PL"/>
        </w:rPr>
        <w:t xml:space="preserve"> zrealizowane do dnia 1 </w:t>
      </w:r>
      <w:r w:rsidR="001E3E0C" w:rsidRPr="00F261A4">
        <w:rPr>
          <w:rFonts w:ascii="Times New Roman" w:hAnsi="Times New Roman"/>
          <w:sz w:val="24"/>
          <w:szCs w:val="24"/>
          <w:lang w:val="pl-PL"/>
        </w:rPr>
        <w:t>listopada 2015 r</w:t>
      </w:r>
      <w:r w:rsidR="00A16ED2" w:rsidRPr="00F261A4">
        <w:rPr>
          <w:rFonts w:ascii="Times New Roman" w:hAnsi="Times New Roman"/>
          <w:sz w:val="24"/>
          <w:szCs w:val="24"/>
          <w:lang w:val="pl-PL"/>
        </w:rPr>
        <w:t>.</w:t>
      </w:r>
      <w:r w:rsidR="001E3E0C" w:rsidRPr="00F261A4">
        <w:rPr>
          <w:rFonts w:ascii="Times New Roman" w:hAnsi="Times New Roman"/>
          <w:sz w:val="24"/>
          <w:szCs w:val="24"/>
          <w:lang w:val="pl-PL"/>
        </w:rPr>
        <w:t>,</w:t>
      </w:r>
      <w:r w:rsidR="00A16ED2" w:rsidRPr="00F261A4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1E3E0C" w:rsidRPr="00F261A4">
        <w:rPr>
          <w:rFonts w:ascii="Times New Roman" w:hAnsi="Times New Roman"/>
          <w:sz w:val="24"/>
          <w:szCs w:val="24"/>
          <w:lang w:val="pl-PL"/>
        </w:rPr>
        <w:t>w</w:t>
      </w:r>
      <w:r w:rsidRPr="00F261A4">
        <w:rPr>
          <w:rFonts w:ascii="Times New Roman" w:hAnsi="Times New Roman"/>
          <w:sz w:val="24"/>
          <w:szCs w:val="24"/>
          <w:lang w:val="pl-PL"/>
        </w:rPr>
        <w:t xml:space="preserve"> ramach zamówienia oczekuje się </w:t>
      </w:r>
      <w:r w:rsidR="00A16ED2" w:rsidRPr="00F261A4">
        <w:rPr>
          <w:rFonts w:ascii="Times New Roman" w:hAnsi="Times New Roman"/>
          <w:sz w:val="24"/>
          <w:szCs w:val="24"/>
          <w:lang w:val="pl-PL"/>
        </w:rPr>
        <w:t xml:space="preserve">także </w:t>
      </w:r>
      <w:r w:rsidRPr="00F261A4">
        <w:rPr>
          <w:rFonts w:ascii="Times New Roman" w:hAnsi="Times New Roman"/>
          <w:sz w:val="24"/>
          <w:szCs w:val="24"/>
          <w:lang w:val="pl-PL"/>
        </w:rPr>
        <w:t xml:space="preserve">od Wykonawcy zapewnienia asysty technicznej na okres – </w:t>
      </w:r>
      <w:r w:rsidR="00425D76" w:rsidRPr="00F261A4">
        <w:rPr>
          <w:rFonts w:ascii="Times New Roman" w:hAnsi="Times New Roman"/>
          <w:sz w:val="24"/>
          <w:szCs w:val="24"/>
          <w:lang w:val="pl-PL"/>
        </w:rPr>
        <w:t>od </w:t>
      </w:r>
      <w:r w:rsidRPr="00F261A4">
        <w:rPr>
          <w:rFonts w:ascii="Times New Roman" w:hAnsi="Times New Roman"/>
          <w:sz w:val="24"/>
          <w:szCs w:val="24"/>
          <w:lang w:val="pl-PL"/>
        </w:rPr>
        <w:t>daty podpisania umowy do dnia 31.12.201</w:t>
      </w:r>
      <w:r w:rsidR="00BE02B8" w:rsidRPr="00F261A4">
        <w:rPr>
          <w:rFonts w:ascii="Times New Roman" w:hAnsi="Times New Roman"/>
          <w:sz w:val="24"/>
          <w:szCs w:val="24"/>
          <w:lang w:val="pl-PL"/>
        </w:rPr>
        <w:t>6</w:t>
      </w:r>
      <w:r w:rsidRPr="00F261A4">
        <w:rPr>
          <w:rFonts w:ascii="Times New Roman" w:hAnsi="Times New Roman"/>
          <w:sz w:val="24"/>
          <w:szCs w:val="24"/>
          <w:lang w:val="pl-PL"/>
        </w:rPr>
        <w:t xml:space="preserve"> r.</w:t>
      </w:r>
    </w:p>
    <w:p w14:paraId="4270B1D5" w14:textId="5475AF86" w:rsidR="00DF6C62" w:rsidRPr="00DF6C62" w:rsidRDefault="00DF6C62" w:rsidP="001E3E0C">
      <w:pPr>
        <w:tabs>
          <w:tab w:val="left" w:pos="360"/>
          <w:tab w:val="left" w:pos="1054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DF6C62">
        <w:rPr>
          <w:rFonts w:ascii="Times New Roman" w:hAnsi="Times New Roman"/>
          <w:sz w:val="24"/>
          <w:szCs w:val="24"/>
          <w:lang w:val="pl-PL"/>
        </w:rPr>
        <w:t xml:space="preserve">Uprzejmie proszę o przesyłanie odpowiedzi na powyższe zapytanie </w:t>
      </w:r>
      <w:r>
        <w:rPr>
          <w:rFonts w:ascii="Times New Roman" w:hAnsi="Times New Roman"/>
          <w:sz w:val="24"/>
          <w:szCs w:val="24"/>
          <w:u w:val="single"/>
          <w:lang w:val="pl-PL"/>
        </w:rPr>
        <w:t>do godziny 16.00 dnia 7 </w:t>
      </w:r>
      <w:r w:rsidRPr="00DF6C62">
        <w:rPr>
          <w:rFonts w:ascii="Times New Roman" w:hAnsi="Times New Roman"/>
          <w:sz w:val="24"/>
          <w:szCs w:val="24"/>
          <w:u w:val="single"/>
          <w:lang w:val="pl-PL"/>
        </w:rPr>
        <w:t>lipca 2015 r.</w:t>
      </w:r>
      <w:r w:rsidRPr="00DF6C62">
        <w:rPr>
          <w:rFonts w:ascii="Times New Roman" w:hAnsi="Times New Roman"/>
          <w:sz w:val="24"/>
          <w:szCs w:val="24"/>
          <w:lang w:val="pl-PL"/>
        </w:rPr>
        <w:t xml:space="preserve"> na adres: </w:t>
      </w:r>
      <w:hyperlink r:id="rId9" w:history="1">
        <w:r w:rsidRPr="00EF285E">
          <w:rPr>
            <w:rStyle w:val="Hipercze"/>
            <w:rFonts w:ascii="Times New Roman" w:hAnsi="Times New Roman"/>
            <w:sz w:val="24"/>
            <w:szCs w:val="24"/>
            <w:lang w:val="pl-PL"/>
          </w:rPr>
          <w:t>cezary.gorczynski@gdos.gov.pl</w:t>
        </w:r>
      </w:hyperlink>
      <w:r w:rsidRPr="00DF6C62">
        <w:rPr>
          <w:rFonts w:ascii="Times New Roman" w:hAnsi="Times New Roman"/>
          <w:sz w:val="24"/>
          <w:szCs w:val="24"/>
          <w:lang w:val="pl-PL"/>
        </w:rPr>
        <w:t>.</w:t>
      </w:r>
    </w:p>
    <w:p w14:paraId="0D2DDDAC" w14:textId="77777777" w:rsidR="00E068F7" w:rsidRPr="007241F0" w:rsidRDefault="00E068F7" w:rsidP="00E068F7">
      <w:pPr>
        <w:pStyle w:val="Nagwek1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syutuacja obecna</w:t>
      </w:r>
    </w:p>
    <w:p w14:paraId="339DC3A3" w14:textId="77777777" w:rsidR="00E068F7" w:rsidRPr="007241F0" w:rsidRDefault="00E068F7" w:rsidP="00E068F7">
      <w:pPr>
        <w:tabs>
          <w:tab w:val="left" w:pos="360"/>
          <w:tab w:val="left" w:pos="1054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66707E0" w14:textId="59B7D753" w:rsidR="00E068F7" w:rsidRDefault="00E068F7" w:rsidP="001E3E0C">
      <w:pPr>
        <w:tabs>
          <w:tab w:val="left" w:pos="360"/>
          <w:tab w:val="left" w:pos="1054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</w:r>
      <w:r w:rsidRPr="00FF5BB5">
        <w:rPr>
          <w:rFonts w:ascii="Times New Roman" w:hAnsi="Times New Roman"/>
          <w:sz w:val="24"/>
          <w:szCs w:val="24"/>
          <w:lang w:val="pl-PL"/>
        </w:rPr>
        <w:t>W 2012 roku Wykonawca, wyłoniony na drodze zamówienia, utworzył baz</w:t>
      </w:r>
      <w:r w:rsidR="00881D8F">
        <w:rPr>
          <w:rFonts w:ascii="Times New Roman" w:hAnsi="Times New Roman"/>
          <w:sz w:val="24"/>
          <w:szCs w:val="24"/>
          <w:lang w:val="pl-PL"/>
        </w:rPr>
        <w:t>ę</w:t>
      </w:r>
      <w:r w:rsidRPr="00FF5BB5">
        <w:rPr>
          <w:rFonts w:ascii="Times New Roman" w:hAnsi="Times New Roman"/>
          <w:sz w:val="24"/>
          <w:szCs w:val="24"/>
          <w:lang w:val="pl-PL"/>
        </w:rPr>
        <w:t xml:space="preserve"> danych obszarów Natura 2000 oraz aplikację </w:t>
      </w:r>
      <w:r w:rsidR="00AD7B82" w:rsidRPr="00FF5BB5">
        <w:rPr>
          <w:rFonts w:ascii="Times New Roman" w:hAnsi="Times New Roman"/>
          <w:sz w:val="24"/>
          <w:szCs w:val="24"/>
          <w:lang w:val="pl-PL"/>
        </w:rPr>
        <w:t>webow</w:t>
      </w:r>
      <w:r w:rsidR="00AD7B82">
        <w:rPr>
          <w:rFonts w:ascii="Times New Roman" w:hAnsi="Times New Roman"/>
          <w:sz w:val="24"/>
          <w:szCs w:val="24"/>
          <w:lang w:val="pl-PL"/>
        </w:rPr>
        <w:t>ą</w:t>
      </w:r>
      <w:r w:rsidRPr="00FF5BB5">
        <w:rPr>
          <w:rFonts w:ascii="Times New Roman" w:hAnsi="Times New Roman"/>
          <w:sz w:val="24"/>
          <w:szCs w:val="24"/>
          <w:lang w:val="pl-PL"/>
        </w:rPr>
        <w:t xml:space="preserve">, która umożliwia jej obsługę. Wykonawca </w:t>
      </w:r>
      <w:r w:rsidR="00080C60">
        <w:rPr>
          <w:rFonts w:ascii="Times New Roman" w:hAnsi="Times New Roman"/>
          <w:sz w:val="24"/>
          <w:szCs w:val="24"/>
          <w:lang w:val="pl-PL"/>
        </w:rPr>
        <w:t>przekazał</w:t>
      </w:r>
      <w:r w:rsidRPr="00FF5BB5">
        <w:rPr>
          <w:rFonts w:ascii="Times New Roman" w:hAnsi="Times New Roman"/>
          <w:sz w:val="24"/>
          <w:szCs w:val="24"/>
          <w:lang w:val="pl-PL"/>
        </w:rPr>
        <w:t xml:space="preserve"> prawa autorskiego do oprogramowania przeznaczonego do obsługi bazy (wraz z</w:t>
      </w:r>
      <w:r w:rsidR="00CC6074">
        <w:rPr>
          <w:rFonts w:ascii="Times New Roman" w:hAnsi="Times New Roman"/>
          <w:sz w:val="24"/>
          <w:szCs w:val="24"/>
          <w:lang w:val="pl-PL"/>
        </w:rPr>
        <w:t> </w:t>
      </w:r>
      <w:r w:rsidRPr="00FF5BB5">
        <w:rPr>
          <w:rFonts w:ascii="Times New Roman" w:hAnsi="Times New Roman"/>
          <w:sz w:val="24"/>
          <w:szCs w:val="24"/>
          <w:lang w:val="pl-PL"/>
        </w:rPr>
        <w:t xml:space="preserve">jego kodami źródłowymi) i dokumentacji aplikacji na zasadach określonych w umowie. Dokumentacja powykonawcza oraz inne niezbędne dokumenty znajdują się w załącznikach. </w:t>
      </w:r>
    </w:p>
    <w:p w14:paraId="79A5F709" w14:textId="1708EE43" w:rsidR="00A81631" w:rsidRDefault="00E068F7" w:rsidP="00E068F7">
      <w:pPr>
        <w:tabs>
          <w:tab w:val="left" w:pos="360"/>
          <w:tab w:val="left" w:pos="1054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Serwer pracuje na systemie operacyjnym LINUX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Ubuntu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Serwer w wersji 12.04. </w:t>
      </w:r>
    </w:p>
    <w:p w14:paraId="6F030C3A" w14:textId="2D0BFE21" w:rsidR="00A81631" w:rsidRDefault="00E068F7" w:rsidP="00E068F7">
      <w:pPr>
        <w:tabs>
          <w:tab w:val="left" w:pos="360"/>
          <w:tab w:val="left" w:pos="1054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Baza danych opiera się na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PostgreSQL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wraz z rozszerzeniem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PostGIS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>,</w:t>
      </w:r>
      <w:r w:rsidR="00D8064F">
        <w:rPr>
          <w:rFonts w:ascii="Times New Roman" w:hAnsi="Times New Roman"/>
          <w:sz w:val="24"/>
          <w:szCs w:val="24"/>
          <w:lang w:val="pl-PL"/>
        </w:rPr>
        <w:t xml:space="preserve"> umożliwiającym import/eksport </w:t>
      </w:r>
      <w:r>
        <w:rPr>
          <w:rFonts w:ascii="Times New Roman" w:hAnsi="Times New Roman"/>
          <w:sz w:val="24"/>
          <w:szCs w:val="24"/>
          <w:lang w:val="pl-PL"/>
        </w:rPr>
        <w:t xml:space="preserve">danych przestrzennych. </w:t>
      </w:r>
    </w:p>
    <w:p w14:paraId="62F905EE" w14:textId="5F4E9152" w:rsidR="00E068F7" w:rsidRDefault="00E068F7" w:rsidP="00E068F7">
      <w:pPr>
        <w:tabs>
          <w:tab w:val="left" w:pos="360"/>
          <w:tab w:val="left" w:pos="1054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Do obsługi bazy danych służy autorska aplikacja internetowa utworzona w Apache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Tomcat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7</w:t>
      </w:r>
      <w:r w:rsidR="00F766E8">
        <w:rPr>
          <w:rFonts w:ascii="Times New Roman" w:hAnsi="Times New Roman"/>
          <w:sz w:val="24"/>
          <w:szCs w:val="24"/>
          <w:lang w:val="pl-PL"/>
        </w:rPr>
        <w:t xml:space="preserve"> (</w:t>
      </w:r>
      <w:hyperlink r:id="rId10" w:history="1">
        <w:r w:rsidR="00F766E8" w:rsidRPr="00F766E8">
          <w:rPr>
            <w:rStyle w:val="Hipercze"/>
            <w:lang w:val="pl-PL"/>
          </w:rPr>
          <w:t>sdfm.gdos.gov.pl/natura/</w:t>
        </w:r>
      </w:hyperlink>
      <w:r w:rsidR="00F766E8">
        <w:rPr>
          <w:rFonts w:ascii="Times New Roman" w:hAnsi="Times New Roman"/>
          <w:sz w:val="24"/>
          <w:szCs w:val="24"/>
          <w:lang w:val="pl-PL"/>
        </w:rPr>
        <w:t>)</w:t>
      </w:r>
      <w:r>
        <w:rPr>
          <w:rFonts w:ascii="Times New Roman" w:hAnsi="Times New Roman"/>
          <w:sz w:val="24"/>
          <w:szCs w:val="24"/>
          <w:lang w:val="pl-PL"/>
        </w:rPr>
        <w:t>.</w:t>
      </w:r>
      <w:r w:rsidR="00A81631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066554DB" w14:textId="1FB65901" w:rsidR="00A81631" w:rsidRDefault="00A81631" w:rsidP="00E068F7">
      <w:pPr>
        <w:tabs>
          <w:tab w:val="left" w:pos="360"/>
          <w:tab w:val="left" w:pos="1054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Wspomniana aplikacja internetowa</w:t>
      </w:r>
      <w:r w:rsidR="00D677E3">
        <w:rPr>
          <w:rFonts w:ascii="Times New Roman" w:hAnsi="Times New Roman"/>
          <w:sz w:val="24"/>
          <w:szCs w:val="24"/>
          <w:lang w:val="pl-PL"/>
        </w:rPr>
        <w:t xml:space="preserve"> ob</w:t>
      </w:r>
      <w:r w:rsidR="00D8064F">
        <w:rPr>
          <w:rFonts w:ascii="Times New Roman" w:hAnsi="Times New Roman"/>
          <w:sz w:val="24"/>
          <w:szCs w:val="24"/>
          <w:lang w:val="pl-PL"/>
        </w:rPr>
        <w:t>sługująca bazę danych obszarów N</w:t>
      </w:r>
      <w:r w:rsidR="00D677E3">
        <w:rPr>
          <w:rFonts w:ascii="Times New Roman" w:hAnsi="Times New Roman"/>
          <w:sz w:val="24"/>
          <w:szCs w:val="24"/>
          <w:lang w:val="pl-PL"/>
        </w:rPr>
        <w:t>atura 2000</w:t>
      </w:r>
      <w:r w:rsidR="00CC6074">
        <w:rPr>
          <w:rFonts w:ascii="Times New Roman" w:hAnsi="Times New Roman"/>
          <w:sz w:val="24"/>
          <w:szCs w:val="24"/>
          <w:lang w:val="pl-PL"/>
        </w:rPr>
        <w:t>, po </w:t>
      </w:r>
      <w:r>
        <w:rPr>
          <w:rFonts w:ascii="Times New Roman" w:hAnsi="Times New Roman"/>
          <w:sz w:val="24"/>
          <w:szCs w:val="24"/>
          <w:lang w:val="pl-PL"/>
        </w:rPr>
        <w:t>zalogowaniu się na konto z przydzielonymi uprawnieniami, umożliwia:</w:t>
      </w:r>
    </w:p>
    <w:p w14:paraId="7874FD6B" w14:textId="77777777" w:rsidR="008B6091" w:rsidRPr="007241F0" w:rsidRDefault="008B6091" w:rsidP="008B6091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W</w:t>
      </w:r>
      <w:r w:rsidRPr="007241F0">
        <w:rPr>
          <w:rFonts w:ascii="Times New Roman" w:hAnsi="Times New Roman"/>
          <w:sz w:val="24"/>
          <w:szCs w:val="24"/>
          <w:lang w:val="pl-PL"/>
        </w:rPr>
        <w:t>yszukiwani</w:t>
      </w:r>
      <w:r>
        <w:rPr>
          <w:rFonts w:ascii="Times New Roman" w:hAnsi="Times New Roman"/>
          <w:sz w:val="24"/>
          <w:szCs w:val="24"/>
          <w:lang w:val="pl-PL"/>
        </w:rPr>
        <w:t>e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z listy obszaru Natura 2000 po jego nazwie i kodzie oraz sortowania pozycji ww. listy alfabetycznie zarówno po nazwie jak i kodzie obszaru;</w:t>
      </w:r>
    </w:p>
    <w:p w14:paraId="6EDD7BDB" w14:textId="523CB8F9" w:rsidR="00D677E3" w:rsidRPr="00D677E3" w:rsidRDefault="00D677E3" w:rsidP="00D677E3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</w:t>
      </w:r>
      <w:r w:rsidRPr="007241F0">
        <w:rPr>
          <w:rFonts w:ascii="Times New Roman" w:hAnsi="Times New Roman"/>
          <w:sz w:val="24"/>
          <w:szCs w:val="24"/>
          <w:lang w:val="pl-PL"/>
        </w:rPr>
        <w:t>odawani</w:t>
      </w:r>
      <w:r>
        <w:rPr>
          <w:rFonts w:ascii="Times New Roman" w:hAnsi="Times New Roman"/>
          <w:sz w:val="24"/>
          <w:szCs w:val="24"/>
          <w:lang w:val="pl-PL"/>
        </w:rPr>
        <w:t>e</w:t>
      </w:r>
      <w:r w:rsidRPr="007241F0">
        <w:rPr>
          <w:rFonts w:ascii="Times New Roman" w:hAnsi="Times New Roman"/>
          <w:sz w:val="24"/>
          <w:szCs w:val="24"/>
          <w:lang w:val="pl-PL"/>
        </w:rPr>
        <w:t>, usuwani</w:t>
      </w:r>
      <w:r>
        <w:rPr>
          <w:rFonts w:ascii="Times New Roman" w:hAnsi="Times New Roman"/>
          <w:sz w:val="24"/>
          <w:szCs w:val="24"/>
          <w:lang w:val="pl-PL"/>
        </w:rPr>
        <w:t>e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i </w:t>
      </w:r>
      <w:r>
        <w:rPr>
          <w:rFonts w:ascii="Times New Roman" w:hAnsi="Times New Roman"/>
          <w:sz w:val="24"/>
          <w:szCs w:val="24"/>
          <w:lang w:val="pl-PL"/>
        </w:rPr>
        <w:t>edycję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danych dot. obszar</w:t>
      </w:r>
      <w:r w:rsidR="00CC6074">
        <w:rPr>
          <w:rFonts w:ascii="Times New Roman" w:hAnsi="Times New Roman"/>
          <w:sz w:val="24"/>
          <w:szCs w:val="24"/>
          <w:lang w:val="pl-PL"/>
        </w:rPr>
        <w:t>ów Natura 2000 w formularzach o 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strukturze zgodnej z wyglądem Standardowego Formularza Danych zatwierdzonego </w:t>
      </w:r>
      <w:r w:rsidR="00CC6074">
        <w:rPr>
          <w:rFonts w:ascii="Times New Roman" w:hAnsi="Times New Roman"/>
          <w:i/>
          <w:sz w:val="24"/>
          <w:szCs w:val="24"/>
          <w:lang w:val="pl-PL"/>
        </w:rPr>
        <w:t>d</w:t>
      </w:r>
      <w:r w:rsidR="00CC6074" w:rsidRPr="007241F0">
        <w:rPr>
          <w:rFonts w:ascii="Times New Roman" w:hAnsi="Times New Roman"/>
          <w:i/>
          <w:sz w:val="24"/>
          <w:szCs w:val="24"/>
          <w:lang w:val="pl-PL"/>
        </w:rPr>
        <w:t xml:space="preserve">ecyzją </w:t>
      </w:r>
      <w:r w:rsidRPr="007241F0">
        <w:rPr>
          <w:rFonts w:ascii="Times New Roman" w:hAnsi="Times New Roman"/>
          <w:i/>
          <w:sz w:val="24"/>
          <w:szCs w:val="24"/>
          <w:lang w:val="pl-PL"/>
        </w:rPr>
        <w:t>wykonawczą Komisji z dnia 11</w:t>
      </w:r>
      <w:r w:rsidR="006B026B">
        <w:rPr>
          <w:rFonts w:ascii="Times New Roman" w:hAnsi="Times New Roman"/>
          <w:i/>
          <w:sz w:val="24"/>
          <w:szCs w:val="24"/>
          <w:lang w:val="pl-PL"/>
        </w:rPr>
        <w:t xml:space="preserve"> lipca</w:t>
      </w:r>
      <w:r w:rsidR="006B026B" w:rsidRPr="007241F0" w:rsidDel="006B026B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7241F0">
        <w:rPr>
          <w:rFonts w:ascii="Times New Roman" w:hAnsi="Times New Roman"/>
          <w:i/>
          <w:sz w:val="24"/>
          <w:szCs w:val="24"/>
          <w:lang w:val="pl-PL"/>
        </w:rPr>
        <w:t xml:space="preserve">2011 </w:t>
      </w:r>
      <w:r w:rsidR="006B026B">
        <w:rPr>
          <w:rFonts w:ascii="Times New Roman" w:hAnsi="Times New Roman"/>
          <w:i/>
          <w:sz w:val="24"/>
          <w:szCs w:val="24"/>
          <w:lang w:val="pl-PL"/>
        </w:rPr>
        <w:t xml:space="preserve">r. </w:t>
      </w:r>
      <w:r w:rsidRPr="007241F0">
        <w:rPr>
          <w:rFonts w:ascii="Times New Roman" w:hAnsi="Times New Roman"/>
          <w:i/>
          <w:sz w:val="24"/>
          <w:szCs w:val="24"/>
          <w:lang w:val="pl-PL"/>
        </w:rPr>
        <w:t>w sprawie formularza zawierającego informacje o terenach Natura 2000</w:t>
      </w:r>
      <w:r w:rsidR="00F44089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="00CC6074" w:rsidRPr="004E6E03">
        <w:rPr>
          <w:rFonts w:ascii="Times New Roman" w:hAnsi="Times New Roman"/>
          <w:sz w:val="24"/>
          <w:szCs w:val="24"/>
          <w:lang w:val="pl-PL"/>
        </w:rPr>
        <w:t xml:space="preserve">(Dz. U. </w:t>
      </w:r>
      <w:r w:rsidR="00CC6074">
        <w:rPr>
          <w:rFonts w:ascii="Times New Roman" w:hAnsi="Times New Roman"/>
          <w:sz w:val="24"/>
          <w:szCs w:val="24"/>
          <w:lang w:val="pl-PL"/>
        </w:rPr>
        <w:t>WE</w:t>
      </w:r>
      <w:r w:rsidR="00CC6074" w:rsidRPr="004E6E03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C6074" w:rsidRPr="004E6E03">
        <w:rPr>
          <w:lang w:val="pl-PL"/>
        </w:rPr>
        <w:t xml:space="preserve">L 198/39 </w:t>
      </w:r>
      <w:r w:rsidR="00CC6074" w:rsidRPr="004E6E03">
        <w:rPr>
          <w:rFonts w:ascii="Times New Roman" w:hAnsi="Times New Roman"/>
          <w:sz w:val="24"/>
          <w:szCs w:val="24"/>
          <w:lang w:val="pl-PL"/>
        </w:rPr>
        <w:t>z dnia 30 lipca 2011 r.</w:t>
      </w:r>
      <w:r w:rsidR="00CC6074" w:rsidRPr="004E6E03">
        <w:rPr>
          <w:lang w:val="pl-PL"/>
        </w:rPr>
        <w:t>)</w:t>
      </w:r>
    </w:p>
    <w:p w14:paraId="41E56D48" w14:textId="00964F39" w:rsidR="008B6091" w:rsidRPr="008B6091" w:rsidRDefault="008B6091" w:rsidP="008B6091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G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rupa użytkowników posiadająca możliwość proponowana zmian (sprawujący nadzór nad obszarem)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edytować pola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, ale faktyczna zmiana wartości w bazie danych </w:t>
      </w:r>
      <w:r>
        <w:rPr>
          <w:rFonts w:ascii="Times New Roman" w:hAnsi="Times New Roman"/>
          <w:sz w:val="24"/>
          <w:szCs w:val="24"/>
          <w:lang w:val="pl-PL"/>
        </w:rPr>
        <w:t>następuje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dopiero po zatwierdzeniu przez użytkownika z uprawnieniami administratora (GDOŚ). Administrator </w:t>
      </w:r>
      <w:r>
        <w:rPr>
          <w:rFonts w:ascii="Times New Roman" w:hAnsi="Times New Roman"/>
          <w:sz w:val="24"/>
          <w:szCs w:val="24"/>
          <w:lang w:val="pl-PL"/>
        </w:rPr>
        <w:t>posiada możliwość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 podgląd</w:t>
      </w:r>
      <w:r>
        <w:rPr>
          <w:rFonts w:ascii="Times New Roman" w:hAnsi="Times New Roman"/>
          <w:sz w:val="24"/>
          <w:szCs w:val="24"/>
          <w:lang w:val="pl-PL"/>
        </w:rPr>
        <w:t>u</w:t>
      </w:r>
      <w:r w:rsidR="00CC6074">
        <w:rPr>
          <w:rFonts w:ascii="Times New Roman" w:hAnsi="Times New Roman"/>
          <w:sz w:val="24"/>
          <w:szCs w:val="24"/>
          <w:lang w:val="pl-PL"/>
        </w:rPr>
        <w:t>/listę zmian oczekujących na </w:t>
      </w:r>
      <w:r w:rsidRPr="007241F0">
        <w:rPr>
          <w:rFonts w:ascii="Times New Roman" w:hAnsi="Times New Roman"/>
          <w:sz w:val="24"/>
          <w:szCs w:val="24"/>
          <w:lang w:val="pl-PL"/>
        </w:rPr>
        <w:t>rozpatrzenie. Administrator może samodzielnie edytować dane bez potrzeby późniejszej akceptacji przez innego użytkownika;</w:t>
      </w:r>
    </w:p>
    <w:p w14:paraId="199E2C37" w14:textId="30A454B1" w:rsidR="00E068F7" w:rsidRPr="007241F0" w:rsidRDefault="00A81631" w:rsidP="00E068F7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bookmarkStart w:id="1" w:name="_Ref335304235"/>
      <w:r>
        <w:rPr>
          <w:rFonts w:ascii="Times New Roman" w:hAnsi="Times New Roman"/>
          <w:sz w:val="24"/>
          <w:szCs w:val="24"/>
          <w:lang w:val="pl-PL"/>
        </w:rPr>
        <w:t>E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ksport (obsługa przez przeglądarkę www) formularzy SDF do plików PDF (zgodny</w:t>
      </w:r>
      <w:r>
        <w:rPr>
          <w:rFonts w:ascii="Times New Roman" w:hAnsi="Times New Roman"/>
          <w:sz w:val="24"/>
          <w:szCs w:val="24"/>
          <w:lang w:val="pl-PL"/>
        </w:rPr>
        <w:t>ch</w:t>
      </w:r>
      <w:r w:rsidR="00CC6074">
        <w:rPr>
          <w:rFonts w:ascii="Times New Roman" w:hAnsi="Times New Roman"/>
          <w:sz w:val="24"/>
          <w:szCs w:val="24"/>
          <w:lang w:val="pl-PL"/>
        </w:rPr>
        <w:t xml:space="preserve"> z 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ISO 19005) o wyglądzie przedstawionym w </w:t>
      </w:r>
      <w:r w:rsidR="00AD7B82">
        <w:rPr>
          <w:rFonts w:ascii="Times New Roman" w:hAnsi="Times New Roman"/>
          <w:sz w:val="24"/>
          <w:szCs w:val="24"/>
          <w:lang w:val="pl-PL"/>
        </w:rPr>
        <w:t xml:space="preserve">ww. </w:t>
      </w:r>
      <w:r w:rsidR="00AD7B82">
        <w:rPr>
          <w:rFonts w:ascii="Times New Roman" w:hAnsi="Times New Roman"/>
          <w:i/>
          <w:sz w:val="24"/>
          <w:szCs w:val="24"/>
          <w:lang w:val="pl-PL"/>
        </w:rPr>
        <w:t>d</w:t>
      </w:r>
      <w:r w:rsidR="00AD7B82" w:rsidRPr="007241F0">
        <w:rPr>
          <w:rFonts w:ascii="Times New Roman" w:hAnsi="Times New Roman"/>
          <w:i/>
          <w:sz w:val="24"/>
          <w:szCs w:val="24"/>
          <w:lang w:val="pl-PL"/>
        </w:rPr>
        <w:t xml:space="preserve">ecyzji </w:t>
      </w:r>
      <w:r w:rsidR="00E068F7" w:rsidRPr="007241F0">
        <w:rPr>
          <w:rFonts w:ascii="Times New Roman" w:hAnsi="Times New Roman"/>
          <w:i/>
          <w:sz w:val="24"/>
          <w:szCs w:val="24"/>
          <w:lang w:val="pl-PL"/>
        </w:rPr>
        <w:t>z dnia 11.07.2011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, XML (zgodny</w:t>
      </w:r>
      <w:r>
        <w:rPr>
          <w:rFonts w:ascii="Times New Roman" w:hAnsi="Times New Roman"/>
          <w:sz w:val="24"/>
          <w:szCs w:val="24"/>
          <w:lang w:val="pl-PL"/>
        </w:rPr>
        <w:t>ch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 ze schematem wymaganym przez Komisję Europejską), MS Access (zgodny</w:t>
      </w:r>
      <w:r>
        <w:rPr>
          <w:rFonts w:ascii="Times New Roman" w:hAnsi="Times New Roman"/>
          <w:sz w:val="24"/>
          <w:szCs w:val="24"/>
          <w:lang w:val="pl-PL"/>
        </w:rPr>
        <w:t>ch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 z szablonem wymaganym przez Komisję Europejską) oraz GML (zgodny</w:t>
      </w:r>
      <w:r>
        <w:rPr>
          <w:rFonts w:ascii="Times New Roman" w:hAnsi="Times New Roman"/>
          <w:sz w:val="24"/>
          <w:szCs w:val="24"/>
          <w:lang w:val="pl-PL"/>
        </w:rPr>
        <w:t>ch</w:t>
      </w:r>
      <w:r w:rsidR="00CC6074">
        <w:rPr>
          <w:rFonts w:ascii="Times New Roman" w:hAnsi="Times New Roman"/>
          <w:sz w:val="24"/>
          <w:szCs w:val="24"/>
          <w:lang w:val="pl-PL"/>
        </w:rPr>
        <w:t xml:space="preserve"> z 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wytycznymi technicznymi Dyrektywy INSPIRE) za pomocą usługi sieciowej (</w:t>
      </w:r>
      <w:proofErr w:type="spellStart"/>
      <w:r w:rsidR="00E068F7" w:rsidRPr="007241F0">
        <w:rPr>
          <w:rFonts w:ascii="Times New Roman" w:hAnsi="Times New Roman"/>
          <w:sz w:val="24"/>
          <w:szCs w:val="24"/>
          <w:lang w:val="pl-PL"/>
        </w:rPr>
        <w:t>WebService</w:t>
      </w:r>
      <w:proofErr w:type="spellEnd"/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 musi być opisany stosowną dokumentacją w języku WSDL);</w:t>
      </w:r>
      <w:bookmarkEnd w:id="1"/>
    </w:p>
    <w:p w14:paraId="6412F147" w14:textId="77777777" w:rsidR="00E068F7" w:rsidRPr="007241F0" w:rsidRDefault="008B6091" w:rsidP="00E068F7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B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lokowanie konta użytkownika przez administratora lub w przypadku przekroczenia limitu nieudanych logowań;</w:t>
      </w:r>
    </w:p>
    <w:p w14:paraId="45BF0C95" w14:textId="682B1B31" w:rsidR="00E068F7" w:rsidRPr="007241F0" w:rsidRDefault="00D8064F" w:rsidP="00E068F7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rowadzeni</w:t>
      </w:r>
      <w:r>
        <w:rPr>
          <w:rFonts w:ascii="Times New Roman" w:hAnsi="Times New Roman"/>
          <w:sz w:val="24"/>
          <w:szCs w:val="24"/>
          <w:lang w:val="pl-PL"/>
        </w:rPr>
        <w:t>e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 historii zmian </w:t>
      </w:r>
      <w:r>
        <w:rPr>
          <w:rFonts w:ascii="Times New Roman" w:hAnsi="Times New Roman"/>
          <w:sz w:val="24"/>
          <w:szCs w:val="24"/>
          <w:lang w:val="pl-PL"/>
        </w:rPr>
        <w:t xml:space="preserve">dla każdego edytowalnego pola wraz 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ze wskazaniem użytkownika który jej dokonał, daty modyfikacji oraz krótkim komentarzem wpisywanym ręcznie </w:t>
      </w:r>
      <w:r w:rsidR="00E068F7">
        <w:rPr>
          <w:rFonts w:ascii="Times New Roman" w:hAnsi="Times New Roman"/>
          <w:sz w:val="24"/>
          <w:szCs w:val="24"/>
          <w:lang w:val="pl-PL"/>
        </w:rPr>
        <w:t>przez Użytkownika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. Pola wypełniane automatycznie z analiz przestrzennych również </w:t>
      </w:r>
      <w:r w:rsidR="00E068F7">
        <w:rPr>
          <w:rFonts w:ascii="Times New Roman" w:hAnsi="Times New Roman"/>
          <w:sz w:val="24"/>
          <w:szCs w:val="24"/>
          <w:lang w:val="pl-PL"/>
        </w:rPr>
        <w:t>posiadają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 xml:space="preserve"> historię zmian. Po każdej aktualizacji danych przestrzennych wszystkie SDF-y </w:t>
      </w:r>
      <w:r w:rsidR="00E068F7">
        <w:rPr>
          <w:rFonts w:ascii="Times New Roman" w:hAnsi="Times New Roman"/>
          <w:sz w:val="24"/>
          <w:szCs w:val="24"/>
          <w:lang w:val="pl-PL"/>
        </w:rPr>
        <w:t>są aktualizowane</w:t>
      </w:r>
      <w:r w:rsidR="00E068F7" w:rsidRPr="007241F0">
        <w:rPr>
          <w:rFonts w:ascii="Times New Roman" w:hAnsi="Times New Roman"/>
          <w:sz w:val="24"/>
          <w:szCs w:val="24"/>
          <w:lang w:val="pl-PL"/>
        </w:rPr>
        <w:t>;</w:t>
      </w:r>
    </w:p>
    <w:p w14:paraId="4D527729" w14:textId="77777777" w:rsidR="00E068F7" w:rsidRDefault="00E068F7" w:rsidP="00E068F7">
      <w:pPr>
        <w:pStyle w:val="Akapitzlist"/>
        <w:numPr>
          <w:ilvl w:val="0"/>
          <w:numId w:val="3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bookmarkStart w:id="2" w:name="_Ref335228328"/>
      <w:r w:rsidRPr="007241F0">
        <w:rPr>
          <w:rFonts w:ascii="Times New Roman" w:hAnsi="Times New Roman"/>
          <w:sz w:val="24"/>
          <w:szCs w:val="24"/>
          <w:lang w:val="pl-PL"/>
        </w:rPr>
        <w:t xml:space="preserve">Oprogramowanie </w:t>
      </w:r>
      <w:r>
        <w:rPr>
          <w:rFonts w:ascii="Times New Roman" w:hAnsi="Times New Roman"/>
          <w:sz w:val="24"/>
          <w:szCs w:val="24"/>
          <w:lang w:val="pl-PL"/>
        </w:rPr>
        <w:t>działa prawidłowo</w:t>
      </w:r>
      <w:r w:rsidRPr="007241F0">
        <w:rPr>
          <w:rFonts w:ascii="Times New Roman" w:hAnsi="Times New Roman"/>
          <w:sz w:val="24"/>
          <w:szCs w:val="24"/>
          <w:lang w:val="pl-PL"/>
        </w:rPr>
        <w:t xml:space="preserve">, tj. umożliwia dodawanie, usuwanie oraz edycję danych poprzez pracę z formularzami strony www, z następującymi przeglądarkami internetowymi: Internet Explorer wersja 6 lub nowsza, </w:t>
      </w:r>
      <w:proofErr w:type="spellStart"/>
      <w:r w:rsidRPr="007241F0">
        <w:rPr>
          <w:rFonts w:ascii="Times New Roman" w:hAnsi="Times New Roman"/>
          <w:sz w:val="24"/>
          <w:szCs w:val="24"/>
          <w:lang w:val="pl-PL"/>
        </w:rPr>
        <w:t>Firefox</w:t>
      </w:r>
      <w:proofErr w:type="spellEnd"/>
      <w:r w:rsidRPr="007241F0">
        <w:rPr>
          <w:rFonts w:ascii="Times New Roman" w:hAnsi="Times New Roman"/>
          <w:sz w:val="24"/>
          <w:szCs w:val="24"/>
          <w:lang w:val="pl-PL"/>
        </w:rPr>
        <w:t xml:space="preserve"> wersja 3.6 lub nowsza, Opera wersja 11 lub nowsza, Chrome wersja 10 lub nowsza</w:t>
      </w:r>
      <w:bookmarkEnd w:id="2"/>
      <w:r>
        <w:rPr>
          <w:rFonts w:ascii="Times New Roman" w:hAnsi="Times New Roman"/>
          <w:sz w:val="24"/>
          <w:szCs w:val="24"/>
          <w:lang w:val="pl-PL"/>
        </w:rPr>
        <w:t>;</w:t>
      </w:r>
    </w:p>
    <w:p w14:paraId="3E14400F" w14:textId="77777777" w:rsidR="00D8064F" w:rsidRDefault="00D8064F" w:rsidP="00D8064F">
      <w:p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E98A711" w14:textId="77777777" w:rsidR="00CC6074" w:rsidRDefault="00CC6074" w:rsidP="00D8064F">
      <w:p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14E30C9" w14:textId="77777777" w:rsidR="00CC6074" w:rsidRDefault="00CC6074" w:rsidP="00D8064F">
      <w:p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FB24139" w14:textId="77777777" w:rsidR="00E068F7" w:rsidRPr="007241F0" w:rsidRDefault="00E068F7" w:rsidP="00E068F7">
      <w:pPr>
        <w:pStyle w:val="Nagwek1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uzasadnienie modernizacji</w:t>
      </w:r>
    </w:p>
    <w:p w14:paraId="247D260A" w14:textId="77777777" w:rsidR="00E068F7" w:rsidRPr="007241F0" w:rsidRDefault="00E068F7" w:rsidP="00E068F7">
      <w:pPr>
        <w:tabs>
          <w:tab w:val="left" w:pos="360"/>
        </w:tabs>
        <w:spacing w:line="30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0290AB2" w14:textId="2111B2CB" w:rsidR="00E068F7" w:rsidRPr="00170B31" w:rsidRDefault="00E068F7" w:rsidP="00E068F7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lang w:val="pl-PL"/>
        </w:rPr>
      </w:pPr>
      <w:r w:rsidRPr="00AA5A35">
        <w:rPr>
          <w:rFonts w:ascii="Times New Roman" w:hAnsi="Times New Roman"/>
          <w:sz w:val="24"/>
          <w:szCs w:val="24"/>
          <w:lang w:val="pl-PL"/>
        </w:rPr>
        <w:t>Głównym powodem zlecenia usługi IT na rozbudowę narzędzia do obsługi bazy danych jest zwiększenie wykorzystania istniejącej już bazy danych, poprzez usprawnienie i</w:t>
      </w:r>
      <w:r>
        <w:rPr>
          <w:rFonts w:ascii="Times New Roman" w:hAnsi="Times New Roman"/>
          <w:sz w:val="24"/>
          <w:szCs w:val="24"/>
          <w:lang w:val="pl-PL"/>
        </w:rPr>
        <w:t> </w:t>
      </w:r>
      <w:r w:rsidRPr="00AA5A35">
        <w:rPr>
          <w:rFonts w:ascii="Times New Roman" w:hAnsi="Times New Roman"/>
          <w:sz w:val="24"/>
          <w:szCs w:val="24"/>
          <w:lang w:val="pl-PL"/>
        </w:rPr>
        <w:t>przyśpieszenie generowania wymaganych dokumentów</w:t>
      </w:r>
      <w:r>
        <w:rPr>
          <w:rFonts w:ascii="Times New Roman" w:hAnsi="Times New Roman"/>
          <w:sz w:val="24"/>
          <w:szCs w:val="24"/>
          <w:lang w:val="pl-PL"/>
        </w:rPr>
        <w:t xml:space="preserve"> legislacyjnych</w:t>
      </w:r>
      <w:r w:rsidR="00DE19EB">
        <w:rPr>
          <w:rFonts w:ascii="Times New Roman" w:hAnsi="Times New Roman"/>
          <w:sz w:val="24"/>
          <w:szCs w:val="24"/>
          <w:lang w:val="pl-PL"/>
        </w:rPr>
        <w:t xml:space="preserve"> (wz</w:t>
      </w:r>
      <w:r w:rsidR="00170B31">
        <w:rPr>
          <w:rFonts w:ascii="Times New Roman" w:hAnsi="Times New Roman"/>
          <w:sz w:val="24"/>
          <w:szCs w:val="24"/>
          <w:lang w:val="pl-PL"/>
        </w:rPr>
        <w:t>o</w:t>
      </w:r>
      <w:r w:rsidR="00DE19EB">
        <w:rPr>
          <w:rFonts w:ascii="Times New Roman" w:hAnsi="Times New Roman"/>
          <w:sz w:val="24"/>
          <w:szCs w:val="24"/>
          <w:lang w:val="pl-PL"/>
        </w:rPr>
        <w:t>r</w:t>
      </w:r>
      <w:r w:rsidR="00170B31">
        <w:rPr>
          <w:rFonts w:ascii="Times New Roman" w:hAnsi="Times New Roman"/>
          <w:sz w:val="24"/>
          <w:szCs w:val="24"/>
          <w:lang w:val="pl-PL"/>
        </w:rPr>
        <w:t>y</w:t>
      </w:r>
      <w:r w:rsidR="00DE19EB">
        <w:rPr>
          <w:rFonts w:ascii="Times New Roman" w:hAnsi="Times New Roman"/>
          <w:sz w:val="24"/>
          <w:szCs w:val="24"/>
          <w:lang w:val="pl-PL"/>
        </w:rPr>
        <w:t xml:space="preserve"> dokument</w:t>
      </w:r>
      <w:r w:rsidR="00170B31">
        <w:rPr>
          <w:rFonts w:ascii="Times New Roman" w:hAnsi="Times New Roman"/>
          <w:sz w:val="24"/>
          <w:szCs w:val="24"/>
          <w:lang w:val="pl-PL"/>
        </w:rPr>
        <w:t>ów - załącznik</w:t>
      </w:r>
      <w:r w:rsidR="00DE19EB">
        <w:rPr>
          <w:rFonts w:ascii="Times New Roman" w:hAnsi="Times New Roman"/>
          <w:sz w:val="24"/>
          <w:szCs w:val="24"/>
          <w:lang w:val="pl-PL"/>
        </w:rPr>
        <w:t xml:space="preserve"> nr </w:t>
      </w:r>
      <w:r w:rsidR="00C46CE9">
        <w:rPr>
          <w:rFonts w:ascii="Times New Roman" w:hAnsi="Times New Roman"/>
          <w:sz w:val="24"/>
          <w:szCs w:val="24"/>
          <w:lang w:val="pl-PL"/>
        </w:rPr>
        <w:t>1</w:t>
      </w:r>
      <w:r w:rsidR="00170B31">
        <w:rPr>
          <w:rFonts w:ascii="Times New Roman" w:hAnsi="Times New Roman"/>
          <w:sz w:val="24"/>
          <w:szCs w:val="24"/>
          <w:lang w:val="pl-PL"/>
        </w:rPr>
        <w:t xml:space="preserve"> oraz nr </w:t>
      </w:r>
      <w:r w:rsidR="00C46CE9">
        <w:rPr>
          <w:rFonts w:ascii="Times New Roman" w:hAnsi="Times New Roman"/>
          <w:sz w:val="24"/>
          <w:szCs w:val="24"/>
          <w:lang w:val="pl-PL"/>
        </w:rPr>
        <w:t>2</w:t>
      </w:r>
      <w:r w:rsidR="00DE19EB">
        <w:rPr>
          <w:rFonts w:ascii="Times New Roman" w:hAnsi="Times New Roman"/>
          <w:sz w:val="24"/>
          <w:szCs w:val="24"/>
          <w:lang w:val="pl-PL"/>
        </w:rPr>
        <w:t>)</w:t>
      </w:r>
      <w:r w:rsidRPr="00AA5A35">
        <w:rPr>
          <w:rFonts w:ascii="Times New Roman" w:hAnsi="Times New Roman"/>
          <w:sz w:val="24"/>
          <w:szCs w:val="24"/>
          <w:lang w:val="pl-PL"/>
        </w:rPr>
        <w:t xml:space="preserve">. </w:t>
      </w:r>
      <w:r>
        <w:rPr>
          <w:rFonts w:ascii="Times New Roman" w:hAnsi="Times New Roman"/>
          <w:sz w:val="24"/>
          <w:szCs w:val="24"/>
          <w:lang w:val="pl-PL"/>
        </w:rPr>
        <w:t>Ponadto, p</w:t>
      </w:r>
      <w:r w:rsidRPr="00AA5A35">
        <w:rPr>
          <w:rFonts w:ascii="Times New Roman" w:hAnsi="Times New Roman"/>
          <w:sz w:val="24"/>
          <w:szCs w:val="24"/>
          <w:lang w:val="pl-PL"/>
        </w:rPr>
        <w:t xml:space="preserve">odczas korzystania z bazy i aplikacji, przez ponad dwa lata, odnotowano </w:t>
      </w:r>
      <w:r w:rsidR="00DE19EB">
        <w:rPr>
          <w:rFonts w:ascii="Times New Roman" w:hAnsi="Times New Roman"/>
          <w:sz w:val="24"/>
          <w:szCs w:val="24"/>
          <w:lang w:val="pl-PL"/>
        </w:rPr>
        <w:t>obszary</w:t>
      </w:r>
      <w:r w:rsidR="00A00D8A">
        <w:rPr>
          <w:rFonts w:ascii="Times New Roman" w:hAnsi="Times New Roman"/>
          <w:sz w:val="24"/>
          <w:szCs w:val="24"/>
          <w:lang w:val="pl-PL"/>
        </w:rPr>
        <w:t>/funkcje</w:t>
      </w:r>
      <w:r w:rsidR="00DE19EB">
        <w:rPr>
          <w:rFonts w:ascii="Times New Roman" w:hAnsi="Times New Roman"/>
          <w:sz w:val="24"/>
          <w:szCs w:val="24"/>
          <w:lang w:val="pl-PL"/>
        </w:rPr>
        <w:t xml:space="preserve"> wymagające rozbudowy </w:t>
      </w:r>
      <w:r w:rsidR="00DE0516">
        <w:rPr>
          <w:rFonts w:ascii="Times New Roman" w:hAnsi="Times New Roman"/>
          <w:sz w:val="24"/>
          <w:szCs w:val="24"/>
          <w:lang w:val="pl-PL"/>
        </w:rPr>
        <w:t>i/lub</w:t>
      </w:r>
      <w:r w:rsidR="00DE19EB">
        <w:rPr>
          <w:rFonts w:ascii="Times New Roman" w:hAnsi="Times New Roman"/>
          <w:sz w:val="24"/>
          <w:szCs w:val="24"/>
          <w:lang w:val="pl-PL"/>
        </w:rPr>
        <w:t xml:space="preserve"> modernizacji</w:t>
      </w:r>
      <w:r w:rsidR="00525499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718C504A" w14:textId="77777777" w:rsidR="00E068F7" w:rsidRPr="007241F0" w:rsidRDefault="00EB06AE" w:rsidP="00E068F7">
      <w:pPr>
        <w:pStyle w:val="Nagwek1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oczekiwany</w:t>
      </w:r>
      <w:r w:rsidR="00E068F7">
        <w:rPr>
          <w:rFonts w:ascii="Times New Roman" w:hAnsi="Times New Roman"/>
          <w:sz w:val="24"/>
          <w:szCs w:val="24"/>
          <w:lang w:val="pl-PL"/>
        </w:rPr>
        <w:t xml:space="preserve"> produkt i wamagani</w:t>
      </w:r>
      <w:r>
        <w:rPr>
          <w:rFonts w:ascii="Times New Roman" w:hAnsi="Times New Roman"/>
          <w:sz w:val="24"/>
          <w:szCs w:val="24"/>
          <w:lang w:val="pl-PL"/>
        </w:rPr>
        <w:t>a</w:t>
      </w:r>
      <w:r w:rsidR="00E068F7">
        <w:rPr>
          <w:rFonts w:ascii="Times New Roman" w:hAnsi="Times New Roman"/>
          <w:sz w:val="24"/>
          <w:szCs w:val="24"/>
          <w:lang w:val="pl-PL"/>
        </w:rPr>
        <w:t xml:space="preserve"> realizacji zamówienia</w:t>
      </w:r>
    </w:p>
    <w:p w14:paraId="2EF10A04" w14:textId="77777777" w:rsidR="00E068F7" w:rsidRPr="007241F0" w:rsidRDefault="00E068F7" w:rsidP="00E068F7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019FAEA" w14:textId="77777777" w:rsidR="00E068F7" w:rsidRPr="00EA647A" w:rsidRDefault="00E068F7" w:rsidP="00E068F7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lang w:val="pl-PL"/>
        </w:rPr>
      </w:pPr>
      <w:r w:rsidRPr="00EA647A">
        <w:rPr>
          <w:rFonts w:ascii="Times New Roman" w:hAnsi="Times New Roman"/>
          <w:sz w:val="24"/>
          <w:szCs w:val="24"/>
          <w:lang w:val="pl-PL"/>
        </w:rPr>
        <w:t>Zamawiający zakłada, iż zamówienie będzie obejmowało:</w:t>
      </w:r>
    </w:p>
    <w:p w14:paraId="2FBBDD71" w14:textId="0ABF4C6B" w:rsidR="00E068F7" w:rsidRPr="00404DC6" w:rsidRDefault="00C46CE9" w:rsidP="00D677E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1E3E0C">
        <w:rPr>
          <w:rFonts w:ascii="Times New Roman" w:hAnsi="Times New Roman"/>
          <w:sz w:val="24"/>
          <w:szCs w:val="24"/>
          <w:lang w:val="pl-PL"/>
        </w:rPr>
        <w:t>u</w:t>
      </w:r>
      <w:r w:rsidR="00AD7B82" w:rsidRPr="001E3E0C">
        <w:rPr>
          <w:rFonts w:ascii="Times New Roman" w:hAnsi="Times New Roman"/>
          <w:sz w:val="24"/>
          <w:szCs w:val="24"/>
          <w:lang w:val="pl-PL"/>
        </w:rPr>
        <w:t xml:space="preserve">tworzenie </w:t>
      </w:r>
      <w:r w:rsidR="00E068F7" w:rsidRPr="001E3E0C">
        <w:rPr>
          <w:rFonts w:ascii="Times New Roman" w:hAnsi="Times New Roman"/>
          <w:sz w:val="24"/>
          <w:szCs w:val="24"/>
          <w:lang w:val="pl-PL"/>
        </w:rPr>
        <w:t>możliwości generowania dokument</w:t>
      </w:r>
      <w:r w:rsidR="003240DF" w:rsidRPr="001E3E0C">
        <w:rPr>
          <w:rFonts w:ascii="Times New Roman" w:hAnsi="Times New Roman"/>
          <w:sz w:val="24"/>
          <w:szCs w:val="24"/>
          <w:lang w:val="pl-PL"/>
        </w:rPr>
        <w:t>ów</w:t>
      </w:r>
      <w:r w:rsidR="00E068F7" w:rsidRPr="001E3E0C">
        <w:rPr>
          <w:rFonts w:ascii="Times New Roman" w:hAnsi="Times New Roman"/>
          <w:sz w:val="24"/>
          <w:szCs w:val="24"/>
          <w:lang w:val="pl-PL"/>
        </w:rPr>
        <w:t xml:space="preserve"> na podstawie</w:t>
      </w:r>
      <w:r w:rsidR="003240DF" w:rsidRPr="001E3E0C">
        <w:rPr>
          <w:rFonts w:ascii="Times New Roman" w:hAnsi="Times New Roman"/>
          <w:sz w:val="24"/>
          <w:szCs w:val="24"/>
          <w:lang w:val="pl-PL"/>
        </w:rPr>
        <w:t xml:space="preserve"> informacji z bazy danych, 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których</w:t>
      </w:r>
      <w:r w:rsidR="00E068F7" w:rsidRPr="00404DC6">
        <w:rPr>
          <w:rFonts w:ascii="Times New Roman" w:hAnsi="Times New Roman"/>
          <w:sz w:val="24"/>
          <w:szCs w:val="24"/>
          <w:lang w:val="pl-PL"/>
        </w:rPr>
        <w:t xml:space="preserve"> przykład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y</w:t>
      </w:r>
      <w:r w:rsidR="00E068F7" w:rsidRPr="00404DC6">
        <w:rPr>
          <w:rFonts w:ascii="Times New Roman" w:hAnsi="Times New Roman"/>
          <w:sz w:val="24"/>
          <w:szCs w:val="24"/>
          <w:lang w:val="pl-PL"/>
        </w:rPr>
        <w:t xml:space="preserve"> został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y</w:t>
      </w:r>
      <w:r w:rsidR="00E068F7" w:rsidRPr="00404DC6">
        <w:rPr>
          <w:rFonts w:ascii="Times New Roman" w:hAnsi="Times New Roman"/>
          <w:sz w:val="24"/>
          <w:szCs w:val="24"/>
          <w:lang w:val="pl-PL"/>
        </w:rPr>
        <w:t xml:space="preserve"> przedstawion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e</w:t>
      </w:r>
      <w:r w:rsidR="00E068F7" w:rsidRPr="00404DC6">
        <w:rPr>
          <w:rFonts w:ascii="Times New Roman" w:hAnsi="Times New Roman"/>
          <w:sz w:val="24"/>
          <w:szCs w:val="24"/>
          <w:lang w:val="pl-PL"/>
        </w:rPr>
        <w:t xml:space="preserve"> w postaci załącznika nr </w:t>
      </w:r>
      <w:r w:rsidRPr="00404DC6">
        <w:rPr>
          <w:rFonts w:ascii="Times New Roman" w:hAnsi="Times New Roman"/>
          <w:sz w:val="24"/>
          <w:szCs w:val="24"/>
          <w:lang w:val="pl-PL"/>
        </w:rPr>
        <w:t>1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E47B2" w:rsidRPr="00404DC6">
        <w:rPr>
          <w:rFonts w:ascii="Times New Roman" w:hAnsi="Times New Roman"/>
          <w:sz w:val="24"/>
          <w:szCs w:val="24"/>
          <w:lang w:val="pl-PL"/>
        </w:rPr>
        <w:t>i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404DC6">
        <w:rPr>
          <w:rFonts w:ascii="Times New Roman" w:hAnsi="Times New Roman"/>
          <w:sz w:val="24"/>
          <w:szCs w:val="24"/>
          <w:lang w:val="pl-PL"/>
        </w:rPr>
        <w:t>2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. Dokumenty powinny być generowane do formatu *.</w:t>
      </w:r>
      <w:proofErr w:type="spellStart"/>
      <w:r w:rsidR="003240DF" w:rsidRPr="00404DC6">
        <w:rPr>
          <w:rFonts w:ascii="Times New Roman" w:hAnsi="Times New Roman"/>
          <w:sz w:val="24"/>
          <w:szCs w:val="24"/>
          <w:lang w:val="pl-PL"/>
        </w:rPr>
        <w:t>docx</w:t>
      </w:r>
      <w:proofErr w:type="spellEnd"/>
      <w:r w:rsidR="003240DF" w:rsidRPr="00404DC6">
        <w:rPr>
          <w:rFonts w:ascii="Times New Roman" w:hAnsi="Times New Roman"/>
          <w:sz w:val="24"/>
          <w:szCs w:val="24"/>
          <w:lang w:val="pl-PL"/>
        </w:rPr>
        <w:t xml:space="preserve"> oraz posiadać takie same </w:t>
      </w:r>
      <w:r w:rsidR="000C4389" w:rsidRPr="00404DC6">
        <w:rPr>
          <w:rFonts w:ascii="Times New Roman" w:hAnsi="Times New Roman"/>
          <w:sz w:val="24"/>
          <w:szCs w:val="24"/>
          <w:lang w:val="pl-PL"/>
        </w:rPr>
        <w:t>funkcjonalności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0C4389" w:rsidRPr="00404DC6">
        <w:rPr>
          <w:rFonts w:ascii="Times New Roman" w:hAnsi="Times New Roman"/>
          <w:sz w:val="24"/>
          <w:szCs w:val="24"/>
          <w:lang w:val="pl-PL"/>
        </w:rPr>
        <w:t>(m</w:t>
      </w:r>
      <w:r w:rsidR="000B0CED" w:rsidRPr="00404DC6">
        <w:rPr>
          <w:rFonts w:ascii="Times New Roman" w:hAnsi="Times New Roman"/>
          <w:sz w:val="24"/>
          <w:szCs w:val="24"/>
          <w:lang w:val="pl-PL"/>
        </w:rPr>
        <w:t>akra</w:t>
      </w:r>
      <w:r w:rsidR="000C4389" w:rsidRPr="00404DC6">
        <w:rPr>
          <w:rFonts w:ascii="Times New Roman" w:hAnsi="Times New Roman"/>
          <w:sz w:val="24"/>
          <w:szCs w:val="24"/>
          <w:lang w:val="pl-PL"/>
        </w:rPr>
        <w:t xml:space="preserve"> – załącznik </w:t>
      </w:r>
      <w:r w:rsidR="0017240E" w:rsidRPr="00404DC6">
        <w:rPr>
          <w:rFonts w:ascii="Times New Roman" w:hAnsi="Times New Roman"/>
          <w:sz w:val="24"/>
          <w:szCs w:val="24"/>
          <w:lang w:val="pl-PL"/>
        </w:rPr>
        <w:t>1</w:t>
      </w:r>
      <w:r w:rsidR="000C4389" w:rsidRPr="00404DC6">
        <w:rPr>
          <w:rFonts w:ascii="Times New Roman" w:hAnsi="Times New Roman"/>
          <w:sz w:val="24"/>
          <w:szCs w:val="24"/>
          <w:lang w:val="pl-PL"/>
        </w:rPr>
        <w:t xml:space="preserve">) 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i sposób formatowania</w:t>
      </w:r>
      <w:r w:rsidR="000C4389" w:rsidRPr="00404DC6">
        <w:rPr>
          <w:rFonts w:ascii="Times New Roman" w:hAnsi="Times New Roman"/>
          <w:sz w:val="24"/>
          <w:szCs w:val="24"/>
          <w:lang w:val="pl-PL"/>
        </w:rPr>
        <w:t xml:space="preserve"> jak załączone przykłady</w:t>
      </w:r>
      <w:r w:rsidR="00EE47B2" w:rsidRPr="00404DC6">
        <w:rPr>
          <w:rFonts w:ascii="Times New Roman" w:hAnsi="Times New Roman"/>
          <w:sz w:val="24"/>
          <w:szCs w:val="24"/>
          <w:lang w:val="pl-PL"/>
        </w:rPr>
        <w:t xml:space="preserve"> (załącznik nr </w:t>
      </w:r>
      <w:r w:rsidR="0017240E" w:rsidRPr="00404DC6">
        <w:rPr>
          <w:rFonts w:ascii="Times New Roman" w:hAnsi="Times New Roman"/>
          <w:sz w:val="24"/>
          <w:szCs w:val="24"/>
          <w:lang w:val="pl-PL"/>
        </w:rPr>
        <w:t>1</w:t>
      </w:r>
      <w:r w:rsidR="00EE47B2" w:rsidRPr="00404DC6">
        <w:rPr>
          <w:rFonts w:ascii="Times New Roman" w:hAnsi="Times New Roman"/>
          <w:sz w:val="24"/>
          <w:szCs w:val="24"/>
          <w:lang w:val="pl-PL"/>
        </w:rPr>
        <w:t xml:space="preserve"> i </w:t>
      </w:r>
      <w:r w:rsidR="0017240E" w:rsidRPr="00404DC6">
        <w:rPr>
          <w:rFonts w:ascii="Times New Roman" w:hAnsi="Times New Roman"/>
          <w:sz w:val="24"/>
          <w:szCs w:val="24"/>
          <w:lang w:val="pl-PL"/>
        </w:rPr>
        <w:t>2</w:t>
      </w:r>
      <w:r w:rsidR="00EE47B2" w:rsidRPr="00404DC6">
        <w:rPr>
          <w:rFonts w:ascii="Times New Roman" w:hAnsi="Times New Roman"/>
          <w:sz w:val="24"/>
          <w:szCs w:val="24"/>
          <w:lang w:val="pl-PL"/>
        </w:rPr>
        <w:t>)</w:t>
      </w:r>
      <w:r w:rsidR="003240DF" w:rsidRPr="00404DC6">
        <w:rPr>
          <w:rFonts w:ascii="Times New Roman" w:hAnsi="Times New Roman"/>
          <w:sz w:val="24"/>
          <w:szCs w:val="24"/>
          <w:lang w:val="pl-PL"/>
        </w:rPr>
        <w:t>;</w:t>
      </w:r>
    </w:p>
    <w:p w14:paraId="2D0DD054" w14:textId="269341B2" w:rsidR="00CE316D" w:rsidRPr="00404DC6" w:rsidRDefault="00CE316D" w:rsidP="00D677E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404DC6">
        <w:rPr>
          <w:rFonts w:ascii="Times New Roman" w:hAnsi="Times New Roman"/>
          <w:sz w:val="24"/>
          <w:szCs w:val="24"/>
          <w:lang w:val="pl-PL"/>
        </w:rPr>
        <w:t>utworzenie możliwości generowania powyższych dokumentów także do formatu XML</w:t>
      </w:r>
      <w:r w:rsidR="003309FF" w:rsidRPr="00404DC6">
        <w:rPr>
          <w:rFonts w:ascii="Times New Roman" w:hAnsi="Times New Roman"/>
          <w:sz w:val="24"/>
          <w:szCs w:val="24"/>
          <w:lang w:val="pl-PL"/>
        </w:rPr>
        <w:t>,</w:t>
      </w:r>
      <w:r w:rsidRPr="00404DC6">
        <w:rPr>
          <w:rFonts w:ascii="Times New Roman" w:hAnsi="Times New Roman"/>
          <w:sz w:val="24"/>
          <w:szCs w:val="24"/>
          <w:lang w:val="pl-PL"/>
        </w:rPr>
        <w:t xml:space="preserve"> zgodnego z załączonym</w:t>
      </w:r>
      <w:r w:rsidR="0050118F" w:rsidRPr="00404DC6">
        <w:rPr>
          <w:rFonts w:ascii="Times New Roman" w:hAnsi="Times New Roman"/>
          <w:sz w:val="24"/>
          <w:szCs w:val="24"/>
          <w:lang w:val="pl-PL"/>
        </w:rPr>
        <w:t>i</w:t>
      </w:r>
      <w:r w:rsidRPr="00404DC6">
        <w:rPr>
          <w:rFonts w:ascii="Times New Roman" w:hAnsi="Times New Roman"/>
          <w:sz w:val="24"/>
          <w:szCs w:val="24"/>
          <w:lang w:val="pl-PL"/>
        </w:rPr>
        <w:t xml:space="preserve"> plik</w:t>
      </w:r>
      <w:r w:rsidR="0050118F" w:rsidRPr="00404DC6">
        <w:rPr>
          <w:rFonts w:ascii="Times New Roman" w:hAnsi="Times New Roman"/>
          <w:sz w:val="24"/>
          <w:szCs w:val="24"/>
          <w:lang w:val="pl-PL"/>
        </w:rPr>
        <w:t>ami</w:t>
      </w:r>
      <w:r w:rsidRPr="00404DC6">
        <w:rPr>
          <w:rFonts w:ascii="Times New Roman" w:hAnsi="Times New Roman"/>
          <w:sz w:val="24"/>
          <w:szCs w:val="24"/>
          <w:lang w:val="pl-PL"/>
        </w:rPr>
        <w:t xml:space="preserve"> XSD (</w:t>
      </w:r>
      <w:r w:rsidR="00A135EB" w:rsidRPr="00404DC6">
        <w:rPr>
          <w:rFonts w:ascii="Times New Roman" w:hAnsi="Times New Roman"/>
          <w:sz w:val="24"/>
          <w:szCs w:val="24"/>
          <w:lang w:val="pl-PL"/>
        </w:rPr>
        <w:t xml:space="preserve">załącznik nr 6 oraz 7, </w:t>
      </w:r>
      <w:r w:rsidRPr="00404DC6">
        <w:rPr>
          <w:rFonts w:ascii="Times New Roman" w:hAnsi="Times New Roman"/>
          <w:sz w:val="24"/>
          <w:szCs w:val="24"/>
          <w:lang w:val="pl-PL"/>
        </w:rPr>
        <w:t>możliwa aktualizacja plik</w:t>
      </w:r>
      <w:r w:rsidR="0050118F" w:rsidRPr="00404DC6">
        <w:rPr>
          <w:rFonts w:ascii="Times New Roman" w:hAnsi="Times New Roman"/>
          <w:sz w:val="24"/>
          <w:szCs w:val="24"/>
          <w:lang w:val="pl-PL"/>
        </w:rPr>
        <w:t>ów</w:t>
      </w:r>
      <w:r w:rsidRPr="00404DC6">
        <w:rPr>
          <w:rFonts w:ascii="Times New Roman" w:hAnsi="Times New Roman"/>
          <w:sz w:val="24"/>
          <w:szCs w:val="24"/>
          <w:lang w:val="pl-PL"/>
        </w:rPr>
        <w:t>), który został opisany w „</w:t>
      </w:r>
      <w:r w:rsidRPr="00404DC6">
        <w:rPr>
          <w:lang w:val="pl-PL"/>
        </w:rPr>
        <w:t>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danych”;</w:t>
      </w:r>
    </w:p>
    <w:p w14:paraId="0CE7C384" w14:textId="071FA52E" w:rsidR="00425D76" w:rsidRPr="00404DC6" w:rsidRDefault="00425D76" w:rsidP="00D677E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404DC6">
        <w:rPr>
          <w:rFonts w:ascii="Times New Roman" w:hAnsi="Times New Roman"/>
          <w:sz w:val="24"/>
          <w:szCs w:val="24"/>
          <w:lang w:val="pl-PL"/>
        </w:rPr>
        <w:t xml:space="preserve">utworzenie możliwości generowania broszury informacyjnej, dla każdego obszaru, </w:t>
      </w:r>
      <w:r w:rsidR="00BE02B8" w:rsidRPr="00404DC6">
        <w:rPr>
          <w:rFonts w:ascii="Times New Roman" w:hAnsi="Times New Roman"/>
          <w:sz w:val="24"/>
          <w:szCs w:val="24"/>
          <w:lang w:val="pl-PL"/>
        </w:rPr>
        <w:t>na </w:t>
      </w:r>
      <w:r w:rsidRPr="00404DC6">
        <w:rPr>
          <w:rFonts w:ascii="Times New Roman" w:hAnsi="Times New Roman"/>
          <w:sz w:val="24"/>
          <w:szCs w:val="24"/>
          <w:lang w:val="pl-PL"/>
        </w:rPr>
        <w:t>podstawie informacji zamieszczonych w bazie danych obszarów Natura 2000. W</w:t>
      </w:r>
      <w:r w:rsidR="00BE02B8" w:rsidRPr="00404DC6">
        <w:rPr>
          <w:rFonts w:ascii="Times New Roman" w:hAnsi="Times New Roman"/>
          <w:sz w:val="24"/>
          <w:szCs w:val="24"/>
          <w:lang w:val="pl-PL"/>
        </w:rPr>
        <w:t> </w:t>
      </w:r>
      <w:r w:rsidRPr="00404DC6">
        <w:rPr>
          <w:rFonts w:ascii="Times New Roman" w:hAnsi="Times New Roman"/>
          <w:sz w:val="24"/>
          <w:szCs w:val="24"/>
          <w:lang w:val="pl-PL"/>
        </w:rPr>
        <w:t>folderze winny znajdować się te same informacje</w:t>
      </w:r>
      <w:r w:rsidR="002546B0" w:rsidRPr="00404DC6">
        <w:rPr>
          <w:rFonts w:ascii="Times New Roman" w:hAnsi="Times New Roman"/>
          <w:sz w:val="24"/>
          <w:szCs w:val="24"/>
          <w:lang w:val="pl-PL"/>
        </w:rPr>
        <w:t>,</w:t>
      </w:r>
      <w:r w:rsidRPr="00404DC6">
        <w:rPr>
          <w:rFonts w:ascii="Times New Roman" w:hAnsi="Times New Roman"/>
          <w:sz w:val="24"/>
          <w:szCs w:val="24"/>
          <w:lang w:val="pl-PL"/>
        </w:rPr>
        <w:t xml:space="preserve"> co w automatycznie generowanym SDF, lecz w przyjaznej dla interesanta formie graficznej</w:t>
      </w:r>
      <w:r w:rsidR="00CE316D" w:rsidRPr="00404DC6">
        <w:rPr>
          <w:rFonts w:ascii="Times New Roman" w:hAnsi="Times New Roman"/>
          <w:sz w:val="24"/>
          <w:szCs w:val="24"/>
          <w:lang w:val="pl-PL"/>
        </w:rPr>
        <w:t xml:space="preserve"> oraz rozkodowane opisy, </w:t>
      </w:r>
      <w:r w:rsidR="007D20D3">
        <w:rPr>
          <w:rFonts w:ascii="Times New Roman" w:hAnsi="Times New Roman"/>
          <w:sz w:val="24"/>
          <w:szCs w:val="24"/>
          <w:lang w:val="pl-PL"/>
        </w:rPr>
        <w:br/>
      </w:r>
      <w:r w:rsidR="00CE316D" w:rsidRPr="00404DC6">
        <w:rPr>
          <w:rFonts w:ascii="Times New Roman" w:hAnsi="Times New Roman"/>
          <w:sz w:val="24"/>
          <w:szCs w:val="24"/>
          <w:lang w:val="pl-PL"/>
        </w:rPr>
        <w:t xml:space="preserve">np. </w:t>
      </w:r>
      <w:r w:rsidR="00CD2A31" w:rsidRPr="00404DC6">
        <w:rPr>
          <w:rFonts w:ascii="Times New Roman" w:hAnsi="Times New Roman"/>
          <w:sz w:val="24"/>
          <w:szCs w:val="24"/>
          <w:lang w:val="pl-PL"/>
        </w:rPr>
        <w:t>z</w:t>
      </w:r>
      <w:r w:rsidR="00CE316D" w:rsidRPr="00404DC6">
        <w:rPr>
          <w:rFonts w:ascii="Times New Roman" w:hAnsi="Times New Roman"/>
          <w:sz w:val="24"/>
          <w:szCs w:val="24"/>
          <w:lang w:val="pl-PL"/>
        </w:rPr>
        <w:t xml:space="preserve">agrożeń na podstawie </w:t>
      </w:r>
      <w:r w:rsidR="00CD2A31" w:rsidRPr="00404DC6">
        <w:rPr>
          <w:rFonts w:ascii="Times New Roman" w:hAnsi="Times New Roman"/>
          <w:sz w:val="24"/>
          <w:szCs w:val="24"/>
          <w:lang w:val="pl-PL"/>
        </w:rPr>
        <w:t>kodów</w:t>
      </w:r>
      <w:r w:rsidR="00CE316D" w:rsidRPr="00404DC6">
        <w:rPr>
          <w:rFonts w:ascii="Times New Roman" w:hAnsi="Times New Roman"/>
          <w:sz w:val="24"/>
          <w:szCs w:val="24"/>
          <w:lang w:val="pl-PL"/>
        </w:rPr>
        <w:t xml:space="preserve"> z bazy danych</w:t>
      </w:r>
      <w:r w:rsidR="002546B0" w:rsidRPr="00404DC6">
        <w:rPr>
          <w:rFonts w:ascii="Times New Roman" w:hAnsi="Times New Roman"/>
          <w:sz w:val="24"/>
          <w:szCs w:val="24"/>
          <w:lang w:val="pl-PL"/>
        </w:rPr>
        <w:t xml:space="preserve">. Wygląd </w:t>
      </w:r>
      <w:r w:rsidR="00B03CAF" w:rsidRPr="00404DC6">
        <w:rPr>
          <w:rFonts w:ascii="Times New Roman" w:hAnsi="Times New Roman"/>
          <w:sz w:val="24"/>
          <w:szCs w:val="24"/>
          <w:lang w:val="pl-PL"/>
        </w:rPr>
        <w:t xml:space="preserve">oraz zawartość </w:t>
      </w:r>
      <w:r w:rsidR="002546B0" w:rsidRPr="00404DC6">
        <w:rPr>
          <w:rFonts w:ascii="Times New Roman" w:hAnsi="Times New Roman"/>
          <w:sz w:val="24"/>
          <w:szCs w:val="24"/>
          <w:lang w:val="pl-PL"/>
        </w:rPr>
        <w:t>broszury będzie podlegał</w:t>
      </w:r>
      <w:r w:rsidR="00B03CAF" w:rsidRPr="00404DC6">
        <w:rPr>
          <w:rFonts w:ascii="Times New Roman" w:hAnsi="Times New Roman"/>
          <w:sz w:val="24"/>
          <w:szCs w:val="24"/>
          <w:lang w:val="pl-PL"/>
        </w:rPr>
        <w:t>a</w:t>
      </w:r>
      <w:r w:rsidR="002546B0" w:rsidRPr="00404DC6">
        <w:rPr>
          <w:rFonts w:ascii="Times New Roman" w:hAnsi="Times New Roman"/>
          <w:sz w:val="24"/>
          <w:szCs w:val="24"/>
          <w:lang w:val="pl-PL"/>
        </w:rPr>
        <w:t xml:space="preserve"> akceptacji przez Zamawiającego</w:t>
      </w:r>
      <w:r w:rsidRPr="00404DC6">
        <w:rPr>
          <w:rFonts w:ascii="Times New Roman" w:hAnsi="Times New Roman"/>
          <w:sz w:val="24"/>
          <w:szCs w:val="24"/>
          <w:lang w:val="pl-PL"/>
        </w:rPr>
        <w:t>;</w:t>
      </w:r>
    </w:p>
    <w:p w14:paraId="26AC0F54" w14:textId="77777777" w:rsidR="00425D76" w:rsidRDefault="00DE0516" w:rsidP="00A14599">
      <w:pPr>
        <w:pStyle w:val="Akapitzlist"/>
        <w:numPr>
          <w:ilvl w:val="0"/>
          <w:numId w:val="4"/>
        </w:numPr>
        <w:tabs>
          <w:tab w:val="left" w:pos="360"/>
          <w:tab w:val="left" w:pos="12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404DC6">
        <w:rPr>
          <w:rFonts w:ascii="Times New Roman" w:hAnsi="Times New Roman"/>
          <w:sz w:val="24"/>
          <w:szCs w:val="24"/>
          <w:lang w:val="pl-PL"/>
        </w:rPr>
        <w:lastRenderedPageBreak/>
        <w:t>a</w:t>
      </w:r>
      <w:r w:rsidR="00AD7B82" w:rsidRPr="00404DC6">
        <w:rPr>
          <w:rFonts w:ascii="Times New Roman" w:hAnsi="Times New Roman"/>
          <w:sz w:val="24"/>
          <w:szCs w:val="24"/>
          <w:lang w:val="pl-PL"/>
        </w:rPr>
        <w:t xml:space="preserve">systę techniczną </w:t>
      </w:r>
      <w:r w:rsidR="00EB06AE" w:rsidRPr="00404DC6">
        <w:rPr>
          <w:rFonts w:ascii="Times New Roman" w:hAnsi="Times New Roman"/>
          <w:sz w:val="24"/>
          <w:szCs w:val="24"/>
          <w:lang w:val="pl-PL"/>
        </w:rPr>
        <w:t>przy funkcjonowaniu bazy z </w:t>
      </w:r>
      <w:r w:rsidR="00CC6074" w:rsidRPr="00404DC6">
        <w:rPr>
          <w:rFonts w:ascii="Times New Roman" w:hAnsi="Times New Roman"/>
          <w:sz w:val="24"/>
          <w:szCs w:val="24"/>
          <w:lang w:val="pl-PL"/>
        </w:rPr>
        <w:t>możliwością zgłaszania</w:t>
      </w:r>
      <w:r w:rsidR="00CC6074" w:rsidRPr="00425D76">
        <w:rPr>
          <w:rFonts w:ascii="Times New Roman" w:hAnsi="Times New Roman"/>
          <w:sz w:val="24"/>
          <w:szCs w:val="24"/>
          <w:lang w:val="pl-PL"/>
        </w:rPr>
        <w:t xml:space="preserve"> awarii i </w:t>
      </w:r>
      <w:r w:rsidR="00F44089" w:rsidRPr="00425D76">
        <w:rPr>
          <w:rFonts w:ascii="Times New Roman" w:hAnsi="Times New Roman"/>
          <w:sz w:val="24"/>
          <w:szCs w:val="24"/>
          <w:lang w:val="pl-PL"/>
        </w:rPr>
        <w:t xml:space="preserve">niewielkich 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>zmian wynikających np. ze zmiany prawa</w:t>
      </w:r>
      <w:r w:rsidR="003240DF" w:rsidRPr="00425D76">
        <w:rPr>
          <w:rFonts w:ascii="Times New Roman" w:hAnsi="Times New Roman"/>
          <w:sz w:val="24"/>
          <w:szCs w:val="24"/>
          <w:lang w:val="pl-PL"/>
        </w:rPr>
        <w:t>;</w:t>
      </w:r>
      <w:r w:rsidR="00CC6074" w:rsidRPr="00425D76">
        <w:rPr>
          <w:rFonts w:ascii="Times New Roman" w:hAnsi="Times New Roman"/>
          <w:sz w:val="24"/>
          <w:szCs w:val="24"/>
          <w:lang w:val="pl-PL"/>
        </w:rPr>
        <w:t xml:space="preserve"> Zamawiający oczekuje, że w 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 xml:space="preserve">ramach asysty technicznej prowadzone będą działania </w:t>
      </w:r>
      <w:r w:rsidR="00CC6074" w:rsidRPr="00425D76">
        <w:rPr>
          <w:rFonts w:ascii="Times New Roman" w:hAnsi="Times New Roman"/>
          <w:sz w:val="24"/>
          <w:szCs w:val="24"/>
          <w:lang w:val="pl-PL"/>
        </w:rPr>
        <w:t>konsultingowe, optymalizujące i 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>naprawcze w stosunku do aplikacji, ale nie zmieniające w znaczący sposób produktu, który został opracowany w oparciu o SIWZ. Mogą to być m.in. d</w:t>
      </w:r>
      <w:r w:rsidR="00CC6074" w:rsidRPr="00425D76">
        <w:rPr>
          <w:rFonts w:ascii="Times New Roman" w:hAnsi="Times New Roman"/>
          <w:sz w:val="24"/>
          <w:szCs w:val="24"/>
          <w:lang w:val="pl-PL"/>
        </w:rPr>
        <w:t>robne modyfikacje w 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 xml:space="preserve">działaniu aplikacji, zmiany aplikacji </w:t>
      </w:r>
      <w:r w:rsidR="00CC6074" w:rsidRPr="00425D76">
        <w:rPr>
          <w:rFonts w:ascii="Times New Roman" w:hAnsi="Times New Roman"/>
          <w:sz w:val="24"/>
          <w:szCs w:val="24"/>
          <w:lang w:val="pl-PL"/>
        </w:rPr>
        <w:t>wynikające ze zmieniającego się 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 xml:space="preserve">prawa (głównie </w:t>
      </w:r>
      <w:r w:rsidR="00F44089" w:rsidRPr="00425D76">
        <w:rPr>
          <w:rFonts w:ascii="Times New Roman" w:hAnsi="Times New Roman"/>
          <w:sz w:val="24"/>
          <w:szCs w:val="24"/>
          <w:lang w:val="pl-PL"/>
        </w:rPr>
        <w:t xml:space="preserve">szablonu rozporządzenia </w:t>
      </w:r>
      <w:r w:rsidR="00DE19EB" w:rsidRPr="00425D76">
        <w:rPr>
          <w:rFonts w:ascii="Times New Roman" w:hAnsi="Times New Roman"/>
          <w:sz w:val="24"/>
          <w:szCs w:val="24"/>
          <w:lang w:val="pl-PL"/>
        </w:rPr>
        <w:t xml:space="preserve">– załącznik nr </w:t>
      </w:r>
      <w:r w:rsidR="0017240E" w:rsidRPr="00425D76">
        <w:rPr>
          <w:rFonts w:ascii="Times New Roman" w:hAnsi="Times New Roman"/>
          <w:sz w:val="24"/>
          <w:szCs w:val="24"/>
          <w:lang w:val="pl-PL"/>
        </w:rPr>
        <w:t>1</w:t>
      </w:r>
      <w:r w:rsidR="00EB06AE" w:rsidRPr="00425D76">
        <w:rPr>
          <w:rFonts w:ascii="Times New Roman" w:hAnsi="Times New Roman"/>
          <w:sz w:val="24"/>
          <w:szCs w:val="24"/>
          <w:lang w:val="pl-PL"/>
        </w:rPr>
        <w:t>), likwidacją błędów niewykrytych do momentu podpisania odbioru i po upływie okresu gwarancji</w:t>
      </w:r>
      <w:r w:rsidR="00A00D8A" w:rsidRPr="00425D76">
        <w:rPr>
          <w:rFonts w:ascii="Times New Roman" w:hAnsi="Times New Roman"/>
          <w:sz w:val="24"/>
          <w:szCs w:val="24"/>
          <w:lang w:val="pl-PL"/>
        </w:rPr>
        <w:t>;</w:t>
      </w:r>
    </w:p>
    <w:p w14:paraId="4B107FC7" w14:textId="09513BB4" w:rsidR="00425D76" w:rsidRPr="00F261A4" w:rsidRDefault="00425D76" w:rsidP="00425D76">
      <w:pPr>
        <w:pStyle w:val="Akapitzlist"/>
        <w:numPr>
          <w:ilvl w:val="0"/>
          <w:numId w:val="4"/>
        </w:numPr>
        <w:tabs>
          <w:tab w:val="left" w:pos="360"/>
          <w:tab w:val="left" w:pos="12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261A4">
        <w:rPr>
          <w:rFonts w:ascii="Times New Roman" w:hAnsi="Times New Roman"/>
          <w:sz w:val="24"/>
          <w:szCs w:val="24"/>
          <w:lang w:val="pl-PL"/>
        </w:rPr>
        <w:t>wykonawca w ramach zakresu umowy przeszkoli pracownika(ów) z zakresu budowy, konfiguracji i obsługi użytej bazy danych, aplikacji, możliwości naprawy awarii aplikacji włącznie z instrukcją i narzędziami (np. gotowy nośnik optyczny z komponentami aplikacji) samodzielnej instalacji na stacji serwerowej w razie awarii aplikacji po</w:t>
      </w:r>
      <w:r w:rsidR="00BE02B8" w:rsidRPr="00F261A4">
        <w:rPr>
          <w:rFonts w:ascii="Times New Roman" w:hAnsi="Times New Roman"/>
          <w:sz w:val="24"/>
          <w:szCs w:val="24"/>
          <w:lang w:val="pl-PL"/>
        </w:rPr>
        <w:t> </w:t>
      </w:r>
      <w:r w:rsidRPr="00F261A4">
        <w:rPr>
          <w:rFonts w:ascii="Times New Roman" w:hAnsi="Times New Roman"/>
          <w:sz w:val="24"/>
          <w:szCs w:val="24"/>
          <w:lang w:val="pl-PL"/>
        </w:rPr>
        <w:t>zakończeniu asysty technicznej prowadzonej przez Wykonawcę. Plan szkolenia będzie podlegał akceptacji przez Zamawiającego,</w:t>
      </w:r>
    </w:p>
    <w:p w14:paraId="4B822C0A" w14:textId="31D4D425" w:rsidR="00E068F7" w:rsidRPr="00D210EE" w:rsidRDefault="00DE0516" w:rsidP="00A14599">
      <w:pPr>
        <w:pStyle w:val="Akapitzlist"/>
        <w:numPr>
          <w:ilvl w:val="0"/>
          <w:numId w:val="4"/>
        </w:numPr>
        <w:tabs>
          <w:tab w:val="left" w:pos="360"/>
          <w:tab w:val="left" w:pos="12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425D76">
        <w:rPr>
          <w:rFonts w:ascii="Times New Roman" w:hAnsi="Times New Roman"/>
          <w:sz w:val="24"/>
          <w:szCs w:val="24"/>
          <w:lang w:val="pl-PL"/>
        </w:rPr>
        <w:t xml:space="preserve">wykonawca </w:t>
      </w:r>
      <w:r w:rsidR="00E068F7" w:rsidRPr="00425D76">
        <w:rPr>
          <w:rFonts w:ascii="Times New Roman" w:hAnsi="Times New Roman"/>
          <w:sz w:val="24"/>
          <w:szCs w:val="24"/>
          <w:lang w:val="pl-PL"/>
        </w:rPr>
        <w:t>udzieli gwarancji na rozszerzone funkcje aplikacji. Długość okresu gwarancji</w:t>
      </w:r>
      <w:r w:rsidR="00E068F7" w:rsidRPr="0005644D">
        <w:rPr>
          <w:rFonts w:ascii="Times New Roman" w:hAnsi="Times New Roman"/>
          <w:sz w:val="24"/>
          <w:szCs w:val="24"/>
          <w:lang w:val="pl-PL"/>
        </w:rPr>
        <w:t xml:space="preserve"> jest kryterium oceny </w:t>
      </w:r>
      <w:r w:rsidR="00E068F7" w:rsidRPr="00D210EE">
        <w:rPr>
          <w:rFonts w:ascii="Times New Roman" w:hAnsi="Times New Roman"/>
          <w:sz w:val="24"/>
          <w:szCs w:val="24"/>
          <w:lang w:val="pl-PL"/>
        </w:rPr>
        <w:t>oferty. Gwarancja musi obejmować:</w:t>
      </w:r>
    </w:p>
    <w:p w14:paraId="5BE04DD4" w14:textId="77777777" w:rsidR="00E068F7" w:rsidRPr="001E3E0C" w:rsidRDefault="00E068F7" w:rsidP="00D677E3">
      <w:pPr>
        <w:pStyle w:val="Akapitzlist2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0EE">
        <w:rPr>
          <w:rFonts w:ascii="Times New Roman" w:hAnsi="Times New Roman"/>
          <w:sz w:val="24"/>
          <w:szCs w:val="24"/>
        </w:rPr>
        <w:t>zapewnienie, że aplikacja spełnia wymagania określone</w:t>
      </w:r>
      <w:r w:rsidRPr="001E3E0C">
        <w:rPr>
          <w:rFonts w:ascii="Times New Roman" w:hAnsi="Times New Roman"/>
          <w:sz w:val="24"/>
          <w:szCs w:val="24"/>
        </w:rPr>
        <w:t xml:space="preserve"> w SIWZ,</w:t>
      </w:r>
    </w:p>
    <w:p w14:paraId="4716A1D2" w14:textId="77777777" w:rsidR="00E068F7" w:rsidRPr="001E3E0C" w:rsidRDefault="00E068F7" w:rsidP="00D677E3">
      <w:pPr>
        <w:pStyle w:val="Akapitzlist2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3E0C">
        <w:rPr>
          <w:rFonts w:ascii="Times New Roman" w:hAnsi="Times New Roman"/>
          <w:sz w:val="24"/>
          <w:szCs w:val="24"/>
        </w:rPr>
        <w:t>naprawę wad ujawnionych w trakcie eksploatacji aplikacji,</w:t>
      </w:r>
    </w:p>
    <w:p w14:paraId="4A4ACD08" w14:textId="77777777" w:rsidR="00E068F7" w:rsidRPr="001E3E0C" w:rsidRDefault="00E068F7" w:rsidP="00D677E3">
      <w:pPr>
        <w:pStyle w:val="Akapitzlist2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3E0C">
        <w:rPr>
          <w:rFonts w:ascii="Times New Roman" w:hAnsi="Times New Roman"/>
          <w:sz w:val="24"/>
          <w:szCs w:val="24"/>
        </w:rPr>
        <w:t>analizę wszystkich błędów i nieprawidłowego działania aplikacji,</w:t>
      </w:r>
    </w:p>
    <w:p w14:paraId="32A87A48" w14:textId="290BB59E" w:rsidR="00E068F7" w:rsidRPr="001E3E0C" w:rsidRDefault="00E068F7" w:rsidP="00D677E3">
      <w:pPr>
        <w:pStyle w:val="Akapitzlist2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3E0C">
        <w:rPr>
          <w:rFonts w:ascii="Times New Roman" w:hAnsi="Times New Roman"/>
          <w:sz w:val="24"/>
          <w:szCs w:val="24"/>
        </w:rPr>
        <w:t xml:space="preserve">naprawę błędów w produktach dostarczonych </w:t>
      </w:r>
      <w:r w:rsidR="00BE02B8">
        <w:rPr>
          <w:rFonts w:ascii="Times New Roman" w:hAnsi="Times New Roman"/>
          <w:sz w:val="24"/>
          <w:szCs w:val="24"/>
        </w:rPr>
        <w:t>przez Wykonawcę, w tym błędów w </w:t>
      </w:r>
      <w:r w:rsidRPr="001E3E0C">
        <w:rPr>
          <w:rFonts w:ascii="Times New Roman" w:hAnsi="Times New Roman"/>
          <w:sz w:val="24"/>
          <w:szCs w:val="24"/>
        </w:rPr>
        <w:t>oprogramowaniu dedykowanym</w:t>
      </w:r>
      <w:r w:rsidR="00A00D8A" w:rsidRPr="001E3E0C">
        <w:rPr>
          <w:rFonts w:ascii="Times New Roman" w:hAnsi="Times New Roman"/>
          <w:sz w:val="24"/>
          <w:szCs w:val="24"/>
        </w:rPr>
        <w:t>;</w:t>
      </w:r>
    </w:p>
    <w:p w14:paraId="0467F5D9" w14:textId="638AA5DB" w:rsidR="00D677E3" w:rsidRPr="007241F0" w:rsidRDefault="00DE0516" w:rsidP="00D677E3">
      <w:pPr>
        <w:pStyle w:val="Akapitzlist"/>
        <w:numPr>
          <w:ilvl w:val="0"/>
          <w:numId w:val="4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</w:t>
      </w:r>
      <w:r w:rsidR="00D677E3" w:rsidRPr="007241F0">
        <w:rPr>
          <w:rFonts w:ascii="Times New Roman" w:hAnsi="Times New Roman"/>
          <w:sz w:val="24"/>
          <w:szCs w:val="24"/>
          <w:lang w:val="pl-PL"/>
        </w:rPr>
        <w:t xml:space="preserve">amawiający wymaga aby czas niedostępności serwisu ze względu na usuwanie usterek i inne prace konserwatorskie w zakresie godzin 7:00-17:00 w dni robocze wynosił maksymalnie </w:t>
      </w:r>
      <w:r w:rsidR="00525499">
        <w:rPr>
          <w:rFonts w:ascii="Times New Roman" w:hAnsi="Times New Roman"/>
          <w:sz w:val="24"/>
          <w:szCs w:val="24"/>
          <w:lang w:val="pl-PL"/>
        </w:rPr>
        <w:t>sześć godzin</w:t>
      </w:r>
      <w:r w:rsidR="00D677E3" w:rsidRPr="007241F0">
        <w:rPr>
          <w:rFonts w:ascii="Times New Roman" w:hAnsi="Times New Roman"/>
          <w:sz w:val="24"/>
          <w:szCs w:val="24"/>
          <w:lang w:val="pl-PL"/>
        </w:rPr>
        <w:t xml:space="preserve"> zegarow</w:t>
      </w:r>
      <w:r w:rsidR="00170B31">
        <w:rPr>
          <w:rFonts w:ascii="Times New Roman" w:hAnsi="Times New Roman"/>
          <w:sz w:val="24"/>
          <w:szCs w:val="24"/>
          <w:lang w:val="pl-PL"/>
        </w:rPr>
        <w:t>ych</w:t>
      </w:r>
      <w:r w:rsidR="00D677E3" w:rsidRPr="007241F0">
        <w:rPr>
          <w:rFonts w:ascii="Times New Roman" w:hAnsi="Times New Roman"/>
          <w:sz w:val="24"/>
          <w:szCs w:val="24"/>
          <w:lang w:val="pl-PL"/>
        </w:rPr>
        <w:t>. Poza tym czasem na aplikacji mogą być prowadzone prace konserwatorskie powodujące jej niedostępność;</w:t>
      </w:r>
    </w:p>
    <w:p w14:paraId="234F4992" w14:textId="1EB570E4" w:rsidR="00D677E3" w:rsidRDefault="00DE0516" w:rsidP="00D677E3">
      <w:pPr>
        <w:pStyle w:val="Akapitzlist"/>
        <w:numPr>
          <w:ilvl w:val="0"/>
          <w:numId w:val="4"/>
        </w:num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</w:t>
      </w:r>
      <w:r w:rsidR="00D677E3" w:rsidRPr="007241F0">
        <w:rPr>
          <w:rFonts w:ascii="Times New Roman" w:hAnsi="Times New Roman"/>
          <w:sz w:val="24"/>
          <w:szCs w:val="24"/>
          <w:lang w:val="pl-PL"/>
        </w:rPr>
        <w:t>amawiający wymaga aby wsparcie techniczne i merytoryczne odbywało się w godzinach pracy instytucji, które mają korzystać</w:t>
      </w:r>
      <w:r w:rsidR="00D677E3">
        <w:rPr>
          <w:rFonts w:ascii="Times New Roman" w:hAnsi="Times New Roman"/>
          <w:sz w:val="24"/>
          <w:szCs w:val="24"/>
          <w:lang w:val="pl-PL"/>
        </w:rPr>
        <w:t xml:space="preserve"> z</w:t>
      </w:r>
      <w:r w:rsidR="00D677E3" w:rsidRPr="007241F0">
        <w:rPr>
          <w:rFonts w:ascii="Times New Roman" w:hAnsi="Times New Roman"/>
          <w:sz w:val="24"/>
          <w:szCs w:val="24"/>
          <w:lang w:val="pl-PL"/>
        </w:rPr>
        <w:t xml:space="preserve"> aplikacji (GDOŚ,). Zamawiający wymaga, aby wsparcie było świadczone drogą bezpośrednich spotkań, kontaktów poprzez linie telefoniczne oraz pocztę elektroniczną (wybór sposobu zależy od sytuacji, pref</w:t>
      </w:r>
      <w:r w:rsidR="00647B40">
        <w:rPr>
          <w:rFonts w:ascii="Times New Roman" w:hAnsi="Times New Roman"/>
          <w:sz w:val="24"/>
          <w:szCs w:val="24"/>
          <w:lang w:val="pl-PL"/>
        </w:rPr>
        <w:t>erowane są </w:t>
      </w:r>
      <w:r>
        <w:rPr>
          <w:rFonts w:ascii="Times New Roman" w:hAnsi="Times New Roman"/>
          <w:sz w:val="24"/>
          <w:szCs w:val="24"/>
          <w:lang w:val="pl-PL"/>
        </w:rPr>
        <w:t>telefon oraz e-mail).</w:t>
      </w:r>
    </w:p>
    <w:p w14:paraId="0836BEFB" w14:textId="77777777" w:rsidR="00303081" w:rsidRDefault="00303081" w:rsidP="00303081">
      <w:p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95C5716" w14:textId="77777777" w:rsidR="00303081" w:rsidRPr="00303081" w:rsidRDefault="00303081" w:rsidP="00303081">
      <w:pPr>
        <w:tabs>
          <w:tab w:val="left" w:pos="360"/>
          <w:tab w:val="left" w:pos="1200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C6214F" w14:textId="77777777" w:rsidR="00E068F7" w:rsidRPr="007241F0" w:rsidRDefault="00E068F7" w:rsidP="00E068F7">
      <w:pPr>
        <w:pStyle w:val="Nagwek1"/>
        <w:tabs>
          <w:tab w:val="left" w:pos="360"/>
        </w:tabs>
        <w:spacing w:line="30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załączniki dotyczące opz</w:t>
      </w:r>
    </w:p>
    <w:p w14:paraId="52F8A12D" w14:textId="37BC2974" w:rsidR="00E068F7" w:rsidRPr="00170B31" w:rsidRDefault="00E068F7" w:rsidP="00170B31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5A35">
        <w:rPr>
          <w:rFonts w:ascii="Times New Roman" w:hAnsi="Times New Roman"/>
          <w:sz w:val="24"/>
          <w:szCs w:val="24"/>
        </w:rPr>
        <w:t xml:space="preserve">Załącznik nr </w:t>
      </w:r>
      <w:r w:rsidR="002737E4">
        <w:rPr>
          <w:rFonts w:ascii="Times New Roman" w:hAnsi="Times New Roman"/>
          <w:sz w:val="24"/>
          <w:szCs w:val="24"/>
        </w:rPr>
        <w:t>1</w:t>
      </w:r>
      <w:r w:rsidRPr="00AA5A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ab/>
      </w:r>
      <w:r w:rsidR="00EE47B2">
        <w:rPr>
          <w:rFonts w:ascii="Times New Roman" w:hAnsi="Times New Roman"/>
          <w:sz w:val="24"/>
          <w:szCs w:val="24"/>
        </w:rPr>
        <w:t>P</w:t>
      </w:r>
      <w:r w:rsidR="00170B31">
        <w:rPr>
          <w:rFonts w:ascii="Times New Roman" w:hAnsi="Times New Roman"/>
          <w:sz w:val="24"/>
          <w:szCs w:val="24"/>
        </w:rPr>
        <w:t>rzykładowy dokument Rozporządzenia</w:t>
      </w:r>
      <w:r w:rsidR="00170B31" w:rsidRPr="00170B31">
        <w:rPr>
          <w:rFonts w:ascii="Times New Roman" w:hAnsi="Times New Roman"/>
          <w:sz w:val="24"/>
          <w:szCs w:val="24"/>
        </w:rPr>
        <w:t xml:space="preserve"> </w:t>
      </w:r>
      <w:r w:rsidR="00EE47B2">
        <w:rPr>
          <w:rFonts w:ascii="Times New Roman" w:hAnsi="Times New Roman"/>
          <w:sz w:val="24"/>
          <w:szCs w:val="24"/>
        </w:rPr>
        <w:t>(</w:t>
      </w:r>
      <w:r w:rsidR="00170B31">
        <w:rPr>
          <w:rFonts w:ascii="Times New Roman" w:hAnsi="Times New Roman"/>
          <w:sz w:val="24"/>
          <w:szCs w:val="24"/>
        </w:rPr>
        <w:t>k</w:t>
      </w:r>
      <w:r w:rsidR="00170B31" w:rsidRPr="00AA5A35">
        <w:rPr>
          <w:rFonts w:ascii="Times New Roman" w:hAnsi="Times New Roman"/>
          <w:sz w:val="24"/>
          <w:szCs w:val="24"/>
        </w:rPr>
        <w:t xml:space="preserve">olorem </w:t>
      </w:r>
      <w:r w:rsidR="000B0CED">
        <w:rPr>
          <w:rFonts w:ascii="Times New Roman" w:hAnsi="Times New Roman"/>
          <w:sz w:val="24"/>
          <w:szCs w:val="24"/>
        </w:rPr>
        <w:t>zielonym</w:t>
      </w:r>
      <w:r w:rsidR="00170B31" w:rsidRPr="00AA5A35">
        <w:rPr>
          <w:rFonts w:ascii="Times New Roman" w:hAnsi="Times New Roman"/>
          <w:sz w:val="24"/>
          <w:szCs w:val="24"/>
        </w:rPr>
        <w:t xml:space="preserve"> oznaczono pola w tabelach oraz fragmenty tekst</w:t>
      </w:r>
      <w:r w:rsidR="00CC6074">
        <w:rPr>
          <w:rFonts w:ascii="Times New Roman" w:hAnsi="Times New Roman"/>
          <w:sz w:val="24"/>
          <w:szCs w:val="24"/>
        </w:rPr>
        <w:t xml:space="preserve">u, które </w:t>
      </w:r>
      <w:r w:rsidR="00C46CE9">
        <w:rPr>
          <w:rFonts w:ascii="Times New Roman" w:hAnsi="Times New Roman"/>
          <w:sz w:val="24"/>
          <w:szCs w:val="24"/>
        </w:rPr>
        <w:t>powinny</w:t>
      </w:r>
      <w:r w:rsidR="00CC6074">
        <w:rPr>
          <w:rFonts w:ascii="Times New Roman" w:hAnsi="Times New Roman"/>
          <w:sz w:val="24"/>
          <w:szCs w:val="24"/>
        </w:rPr>
        <w:t xml:space="preserve"> być generowane na </w:t>
      </w:r>
      <w:r w:rsidR="00170B31" w:rsidRPr="00AA5A35">
        <w:rPr>
          <w:rFonts w:ascii="Times New Roman" w:hAnsi="Times New Roman"/>
          <w:sz w:val="24"/>
          <w:szCs w:val="24"/>
        </w:rPr>
        <w:t xml:space="preserve">podstawie informacji </w:t>
      </w:r>
      <w:r w:rsidR="00170B31">
        <w:rPr>
          <w:rFonts w:ascii="Times New Roman" w:hAnsi="Times New Roman"/>
          <w:sz w:val="24"/>
          <w:szCs w:val="24"/>
        </w:rPr>
        <w:t>znajdujących się w bazie danych</w:t>
      </w:r>
      <w:r w:rsidR="00EE47B2">
        <w:rPr>
          <w:rFonts w:ascii="Times New Roman" w:hAnsi="Times New Roman"/>
          <w:sz w:val="24"/>
          <w:szCs w:val="24"/>
        </w:rPr>
        <w:t>).</w:t>
      </w:r>
    </w:p>
    <w:p w14:paraId="6CFAA069" w14:textId="087C3609" w:rsidR="00170B31" w:rsidRPr="00AA5A35" w:rsidRDefault="00170B31" w:rsidP="00E068F7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36C3">
        <w:rPr>
          <w:rFonts w:ascii="Times New Roman" w:hAnsi="Times New Roman"/>
          <w:sz w:val="24"/>
          <w:szCs w:val="24"/>
        </w:rPr>
        <w:t xml:space="preserve">Załącznik nr </w:t>
      </w:r>
      <w:r w:rsidR="002737E4">
        <w:rPr>
          <w:rFonts w:ascii="Times New Roman" w:hAnsi="Times New Roman"/>
          <w:sz w:val="24"/>
          <w:szCs w:val="24"/>
        </w:rPr>
        <w:t>2</w:t>
      </w:r>
      <w:r w:rsidRPr="001536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536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EE47B2">
        <w:rPr>
          <w:rFonts w:ascii="Times New Roman" w:hAnsi="Times New Roman"/>
          <w:sz w:val="24"/>
          <w:szCs w:val="24"/>
        </w:rPr>
        <w:t>P</w:t>
      </w:r>
      <w:r w:rsidRPr="00AA5A35">
        <w:rPr>
          <w:rFonts w:ascii="Times New Roman" w:hAnsi="Times New Roman"/>
          <w:sz w:val="24"/>
          <w:szCs w:val="24"/>
        </w:rPr>
        <w:t>rzykładowy dokument</w:t>
      </w:r>
      <w:r w:rsidR="00CC6074">
        <w:rPr>
          <w:rFonts w:ascii="Times New Roman" w:hAnsi="Times New Roman"/>
          <w:sz w:val="24"/>
          <w:szCs w:val="24"/>
        </w:rPr>
        <w:t xml:space="preserve"> stanowiący załącznik do </w:t>
      </w:r>
      <w:r>
        <w:rPr>
          <w:rFonts w:ascii="Times New Roman" w:hAnsi="Times New Roman"/>
          <w:sz w:val="24"/>
          <w:szCs w:val="24"/>
        </w:rPr>
        <w:t>Rozporządzenia</w:t>
      </w:r>
      <w:r w:rsidRPr="00AA5A35">
        <w:rPr>
          <w:rFonts w:ascii="Times New Roman" w:hAnsi="Times New Roman"/>
          <w:sz w:val="24"/>
          <w:szCs w:val="24"/>
        </w:rPr>
        <w:t xml:space="preserve">, który powinien być </w:t>
      </w:r>
      <w:r w:rsidR="00EE47B2">
        <w:rPr>
          <w:rFonts w:ascii="Times New Roman" w:hAnsi="Times New Roman"/>
          <w:sz w:val="24"/>
          <w:szCs w:val="24"/>
        </w:rPr>
        <w:t>generowany po realizacji usługi</w:t>
      </w:r>
      <w:r>
        <w:rPr>
          <w:rFonts w:ascii="Times New Roman" w:hAnsi="Times New Roman"/>
          <w:sz w:val="24"/>
          <w:szCs w:val="24"/>
        </w:rPr>
        <w:t xml:space="preserve"> </w:t>
      </w:r>
      <w:r w:rsidR="00EE47B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k</w:t>
      </w:r>
      <w:r w:rsidRPr="00AA5A35">
        <w:rPr>
          <w:rFonts w:ascii="Times New Roman" w:hAnsi="Times New Roman"/>
          <w:sz w:val="24"/>
          <w:szCs w:val="24"/>
        </w:rPr>
        <w:t xml:space="preserve">olorem </w:t>
      </w:r>
      <w:r w:rsidR="000B0CED">
        <w:rPr>
          <w:rFonts w:ascii="Times New Roman" w:hAnsi="Times New Roman"/>
          <w:sz w:val="24"/>
          <w:szCs w:val="24"/>
        </w:rPr>
        <w:t>zielonym</w:t>
      </w:r>
      <w:r w:rsidRPr="00AA5A35">
        <w:rPr>
          <w:rFonts w:ascii="Times New Roman" w:hAnsi="Times New Roman"/>
          <w:sz w:val="24"/>
          <w:szCs w:val="24"/>
        </w:rPr>
        <w:t xml:space="preserve"> oznaczono pola w tabelach oraz fragmenty tekstu, które </w:t>
      </w:r>
      <w:r w:rsidR="001E3E0C">
        <w:rPr>
          <w:rFonts w:ascii="Times New Roman" w:hAnsi="Times New Roman"/>
          <w:sz w:val="24"/>
          <w:szCs w:val="24"/>
        </w:rPr>
        <w:t>powinny</w:t>
      </w:r>
      <w:r w:rsidRPr="00AA5A35">
        <w:rPr>
          <w:rFonts w:ascii="Times New Roman" w:hAnsi="Times New Roman"/>
          <w:sz w:val="24"/>
          <w:szCs w:val="24"/>
        </w:rPr>
        <w:t xml:space="preserve"> być generowane na podstawie informacji </w:t>
      </w:r>
      <w:r>
        <w:rPr>
          <w:rFonts w:ascii="Times New Roman" w:hAnsi="Times New Roman"/>
          <w:sz w:val="24"/>
          <w:szCs w:val="24"/>
        </w:rPr>
        <w:t>znajdujących się w bazie danych</w:t>
      </w:r>
      <w:r w:rsidR="00EE47B2">
        <w:rPr>
          <w:rFonts w:ascii="Times New Roman" w:hAnsi="Times New Roman"/>
          <w:sz w:val="24"/>
          <w:szCs w:val="24"/>
        </w:rPr>
        <w:t>).</w:t>
      </w:r>
    </w:p>
    <w:p w14:paraId="274C0E25" w14:textId="190B84C1" w:rsidR="00E068F7" w:rsidRDefault="00E068F7" w:rsidP="00E068F7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pl-PL"/>
        </w:rPr>
      </w:pPr>
      <w:r w:rsidRPr="001536C3"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2737E4">
        <w:rPr>
          <w:rFonts w:ascii="Times New Roman" w:hAnsi="Times New Roman"/>
          <w:sz w:val="24"/>
          <w:szCs w:val="24"/>
          <w:lang w:val="pl-PL"/>
        </w:rPr>
        <w:t>3</w:t>
      </w:r>
      <w:r w:rsidRPr="001536C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 w:rsidRPr="001536C3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ab/>
        <w:t xml:space="preserve">Dokumentacja powykonawcza zwierająca informacje o bazie danych obszarów Natura 2000 oraz aplikacji ją obsługującej. </w:t>
      </w:r>
    </w:p>
    <w:p w14:paraId="2BC77044" w14:textId="504637E7" w:rsidR="00E068F7" w:rsidRDefault="00170B31" w:rsidP="00E068F7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2737E4">
        <w:rPr>
          <w:rFonts w:ascii="Times New Roman" w:hAnsi="Times New Roman"/>
          <w:sz w:val="24"/>
          <w:szCs w:val="24"/>
          <w:lang w:val="pl-PL"/>
        </w:rPr>
        <w:t>4</w:t>
      </w:r>
      <w:r w:rsidR="00E068F7">
        <w:rPr>
          <w:rFonts w:ascii="Times New Roman" w:hAnsi="Times New Roman"/>
          <w:sz w:val="24"/>
          <w:szCs w:val="24"/>
          <w:lang w:val="pl-PL"/>
        </w:rPr>
        <w:t xml:space="preserve"> –</w:t>
      </w:r>
      <w:r w:rsidR="00E068F7">
        <w:rPr>
          <w:rFonts w:ascii="Times New Roman" w:hAnsi="Times New Roman"/>
          <w:sz w:val="24"/>
          <w:szCs w:val="24"/>
          <w:lang w:val="pl-PL"/>
        </w:rPr>
        <w:tab/>
      </w:r>
      <w:r w:rsidR="00EE47B2">
        <w:rPr>
          <w:rFonts w:ascii="Times New Roman" w:hAnsi="Times New Roman"/>
          <w:sz w:val="24"/>
          <w:szCs w:val="24"/>
          <w:lang w:val="pl-PL"/>
        </w:rPr>
        <w:t>M</w:t>
      </w:r>
      <w:r w:rsidR="00E068F7">
        <w:rPr>
          <w:rFonts w:ascii="Times New Roman" w:hAnsi="Times New Roman"/>
          <w:sz w:val="24"/>
          <w:szCs w:val="24"/>
          <w:lang w:val="pl-PL"/>
        </w:rPr>
        <w:t>apa logiczna bazy danych</w:t>
      </w:r>
    </w:p>
    <w:p w14:paraId="1D2ABDD7" w14:textId="6E248A44" w:rsidR="00A05256" w:rsidRDefault="00170B31" w:rsidP="00E068F7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2737E4">
        <w:rPr>
          <w:rFonts w:ascii="Times New Roman" w:hAnsi="Times New Roman"/>
          <w:sz w:val="24"/>
          <w:szCs w:val="24"/>
          <w:lang w:val="pl-PL"/>
        </w:rPr>
        <w:t>5</w:t>
      </w:r>
      <w:r w:rsidR="00E068F7" w:rsidRPr="00E4259A">
        <w:rPr>
          <w:rFonts w:ascii="Times New Roman" w:hAnsi="Times New Roman"/>
          <w:sz w:val="24"/>
          <w:szCs w:val="24"/>
          <w:lang w:val="pl-PL"/>
        </w:rPr>
        <w:t xml:space="preserve"> – </w:t>
      </w:r>
      <w:r w:rsidR="00E068F7" w:rsidRPr="00E4259A">
        <w:rPr>
          <w:rFonts w:ascii="Times New Roman" w:hAnsi="Times New Roman"/>
          <w:sz w:val="24"/>
          <w:szCs w:val="24"/>
          <w:lang w:val="pl-PL"/>
        </w:rPr>
        <w:tab/>
      </w:r>
      <w:r w:rsidR="00EE47B2">
        <w:rPr>
          <w:rFonts w:ascii="Times New Roman" w:hAnsi="Times New Roman"/>
          <w:sz w:val="24"/>
          <w:szCs w:val="24"/>
          <w:lang w:val="pl-PL"/>
        </w:rPr>
        <w:t>T</w:t>
      </w:r>
      <w:r w:rsidR="00E068F7" w:rsidRPr="00E4259A">
        <w:rPr>
          <w:rFonts w:ascii="Times New Roman" w:hAnsi="Times New Roman"/>
          <w:sz w:val="24"/>
          <w:szCs w:val="24"/>
          <w:lang w:val="pl-PL"/>
        </w:rPr>
        <w:t>abele znajdujące się w bazie danych wraz ze szczegółami technicznymi</w:t>
      </w:r>
      <w:r w:rsidR="00EE47B2">
        <w:rPr>
          <w:rFonts w:ascii="Times New Roman" w:hAnsi="Times New Roman"/>
          <w:sz w:val="24"/>
          <w:szCs w:val="24"/>
          <w:lang w:val="pl-PL"/>
        </w:rPr>
        <w:t>.</w:t>
      </w:r>
    </w:p>
    <w:p w14:paraId="68519A11" w14:textId="0135E338" w:rsidR="0050118F" w:rsidRDefault="0050118F" w:rsidP="00E068F7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Załącznik nr 6</w:t>
      </w:r>
      <w:r w:rsidR="00E5519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A135EB" w:rsidRPr="00E4259A">
        <w:rPr>
          <w:rFonts w:ascii="Times New Roman" w:hAnsi="Times New Roman"/>
          <w:sz w:val="24"/>
          <w:szCs w:val="24"/>
          <w:lang w:val="pl-PL"/>
        </w:rPr>
        <w:t xml:space="preserve">– </w:t>
      </w:r>
      <w:r w:rsidR="00E5519B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5519B">
        <w:rPr>
          <w:rFonts w:ascii="Times New Roman" w:hAnsi="Times New Roman"/>
          <w:sz w:val="24"/>
          <w:szCs w:val="24"/>
          <w:lang w:val="pl-PL"/>
        </w:rPr>
        <w:tab/>
        <w:t>Plik</w:t>
      </w:r>
      <w:r w:rsidR="005B1CB1">
        <w:rPr>
          <w:rFonts w:ascii="Times New Roman" w:hAnsi="Times New Roman"/>
          <w:sz w:val="24"/>
          <w:szCs w:val="24"/>
          <w:lang w:val="pl-PL"/>
        </w:rPr>
        <w:t xml:space="preserve"> XSD</w:t>
      </w:r>
    </w:p>
    <w:p w14:paraId="1D907D7B" w14:textId="2A685402" w:rsidR="0050118F" w:rsidRPr="00E068F7" w:rsidRDefault="0050118F" w:rsidP="00E068F7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Załącznik nr 7 </w:t>
      </w:r>
      <w:r w:rsidR="00A135EB" w:rsidRPr="00E4259A">
        <w:rPr>
          <w:rFonts w:ascii="Times New Roman" w:hAnsi="Times New Roman"/>
          <w:sz w:val="24"/>
          <w:szCs w:val="24"/>
          <w:lang w:val="pl-PL"/>
        </w:rPr>
        <w:t>–</w:t>
      </w:r>
      <w:r w:rsidR="005B1CB1">
        <w:rPr>
          <w:rFonts w:ascii="Times New Roman" w:hAnsi="Times New Roman"/>
          <w:sz w:val="24"/>
          <w:szCs w:val="24"/>
          <w:lang w:val="pl-PL"/>
        </w:rPr>
        <w:tab/>
        <w:t>Plik XSD</w:t>
      </w:r>
    </w:p>
    <w:sectPr w:rsidR="0050118F" w:rsidRPr="00E068F7" w:rsidSect="00154C15">
      <w:headerReference w:type="default" r:id="rId11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E8E32" w14:textId="77777777" w:rsidR="00B42AD0" w:rsidRDefault="00B42AD0">
      <w:pPr>
        <w:spacing w:after="0" w:line="240" w:lineRule="auto"/>
      </w:pPr>
      <w:r>
        <w:separator/>
      </w:r>
    </w:p>
  </w:endnote>
  <w:endnote w:type="continuationSeparator" w:id="0">
    <w:p w14:paraId="02BE0055" w14:textId="77777777" w:rsidR="00B42AD0" w:rsidRDefault="00B4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AD2A0" w14:textId="77777777" w:rsidR="00B42AD0" w:rsidRDefault="00B42AD0">
      <w:pPr>
        <w:spacing w:after="0" w:line="240" w:lineRule="auto"/>
      </w:pPr>
      <w:r>
        <w:separator/>
      </w:r>
    </w:p>
  </w:footnote>
  <w:footnote w:type="continuationSeparator" w:id="0">
    <w:p w14:paraId="4082EE62" w14:textId="77777777" w:rsidR="00B42AD0" w:rsidRDefault="00B4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2902E" w14:textId="76F4DA39" w:rsidR="00303081" w:rsidRDefault="00303081" w:rsidP="00303081">
    <w:pPr>
      <w:pStyle w:val="Nagwek"/>
      <w:tabs>
        <w:tab w:val="left" w:pos="6379"/>
      </w:tabs>
    </w:pPr>
    <w:r>
      <w:rPr>
        <w:noProof/>
        <w:lang w:val="pl-PL" w:eastAsia="pl-PL"/>
      </w:rPr>
      <w:drawing>
        <wp:inline distT="0" distB="0" distL="0" distR="0" wp14:anchorId="4E5D1153" wp14:editId="364C1DF7">
          <wp:extent cx="1009650" cy="944565"/>
          <wp:effectExtent l="0" t="0" r="0" b="8255"/>
          <wp:docPr id="1" name="Obraz 1" descr="C:\Users\cgorczynski\Pictures\GDOS_logo_pion_jpg_1__prox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gorczynski\Pictures\GDOS_logo_pion_jpg_1__prox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589" cy="94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Warszawa, 1 </w:t>
    </w:r>
    <w:r w:rsidRPr="00303081">
      <w:rPr>
        <w:lang w:val="pl-PL"/>
      </w:rPr>
      <w:t>lipca</w:t>
    </w:r>
    <w:r>
      <w:t xml:space="preserve"> 2015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6A63"/>
    <w:multiLevelType w:val="hybridMultilevel"/>
    <w:tmpl w:val="56206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B90B74"/>
    <w:multiLevelType w:val="hybridMultilevel"/>
    <w:tmpl w:val="104A66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47D3565"/>
    <w:multiLevelType w:val="hybridMultilevel"/>
    <w:tmpl w:val="57F01D9E"/>
    <w:lvl w:ilvl="0" w:tplc="D88E6D5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98628F"/>
    <w:multiLevelType w:val="hybridMultilevel"/>
    <w:tmpl w:val="AF0C0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4F"/>
    <w:rsid w:val="0005644D"/>
    <w:rsid w:val="00080C60"/>
    <w:rsid w:val="000B0CED"/>
    <w:rsid w:val="000C4389"/>
    <w:rsid w:val="00146269"/>
    <w:rsid w:val="00154C15"/>
    <w:rsid w:val="00170B31"/>
    <w:rsid w:val="0017240E"/>
    <w:rsid w:val="001E3E0C"/>
    <w:rsid w:val="002505B9"/>
    <w:rsid w:val="002546B0"/>
    <w:rsid w:val="002737E4"/>
    <w:rsid w:val="00303081"/>
    <w:rsid w:val="003240DF"/>
    <w:rsid w:val="003309FF"/>
    <w:rsid w:val="00404DC6"/>
    <w:rsid w:val="00425D76"/>
    <w:rsid w:val="0045244F"/>
    <w:rsid w:val="0050118F"/>
    <w:rsid w:val="005022D5"/>
    <w:rsid w:val="00525499"/>
    <w:rsid w:val="0055631C"/>
    <w:rsid w:val="00595BE4"/>
    <w:rsid w:val="005B1CB1"/>
    <w:rsid w:val="005B4FED"/>
    <w:rsid w:val="00647B40"/>
    <w:rsid w:val="006B026B"/>
    <w:rsid w:val="007B767C"/>
    <w:rsid w:val="007D20D3"/>
    <w:rsid w:val="008237C9"/>
    <w:rsid w:val="00881D8F"/>
    <w:rsid w:val="008B6091"/>
    <w:rsid w:val="0092652B"/>
    <w:rsid w:val="009C3520"/>
    <w:rsid w:val="009D4DCE"/>
    <w:rsid w:val="00A00D8A"/>
    <w:rsid w:val="00A05256"/>
    <w:rsid w:val="00A135EB"/>
    <w:rsid w:val="00A16ED2"/>
    <w:rsid w:val="00A81631"/>
    <w:rsid w:val="00AD7B82"/>
    <w:rsid w:val="00B03CAF"/>
    <w:rsid w:val="00B16C9E"/>
    <w:rsid w:val="00B42AD0"/>
    <w:rsid w:val="00BE02B8"/>
    <w:rsid w:val="00C26866"/>
    <w:rsid w:val="00C46CE9"/>
    <w:rsid w:val="00C555EA"/>
    <w:rsid w:val="00C95B83"/>
    <w:rsid w:val="00CB0297"/>
    <w:rsid w:val="00CC6074"/>
    <w:rsid w:val="00CD2A31"/>
    <w:rsid w:val="00CE316D"/>
    <w:rsid w:val="00D210EE"/>
    <w:rsid w:val="00D25E74"/>
    <w:rsid w:val="00D677E3"/>
    <w:rsid w:val="00D8064F"/>
    <w:rsid w:val="00DE0516"/>
    <w:rsid w:val="00DE19EB"/>
    <w:rsid w:val="00DF6C62"/>
    <w:rsid w:val="00E068F7"/>
    <w:rsid w:val="00E42940"/>
    <w:rsid w:val="00E5519B"/>
    <w:rsid w:val="00E75468"/>
    <w:rsid w:val="00EB06AE"/>
    <w:rsid w:val="00EE47B2"/>
    <w:rsid w:val="00F261A4"/>
    <w:rsid w:val="00F44089"/>
    <w:rsid w:val="00F766E8"/>
    <w:rsid w:val="00F9169D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6F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8F7"/>
    <w:pPr>
      <w:spacing w:after="200" w:line="252" w:lineRule="auto"/>
    </w:pPr>
    <w:rPr>
      <w:rFonts w:ascii="Cambria" w:eastAsia="Times New Roman" w:hAnsi="Cambria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68F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68F7"/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paragraph" w:styleId="Tytu">
    <w:name w:val="Title"/>
    <w:basedOn w:val="Normalny"/>
    <w:next w:val="Normalny"/>
    <w:link w:val="TytuZnak"/>
    <w:uiPriority w:val="99"/>
    <w:qFormat/>
    <w:rsid w:val="00E068F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99"/>
    <w:rsid w:val="00E068F7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Odwoaniedokomentarza">
    <w:name w:val="annotation reference"/>
    <w:uiPriority w:val="99"/>
    <w:semiHidden/>
    <w:rsid w:val="00E068F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06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8F7"/>
    <w:rPr>
      <w:rFonts w:ascii="Cambria" w:eastAsia="Times New Roman" w:hAnsi="Cambria" w:cs="Times New Roman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rsid w:val="00E068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F7"/>
    <w:rPr>
      <w:rFonts w:ascii="Cambria" w:eastAsia="Times New Roman" w:hAnsi="Cambria" w:cs="Times New Roman"/>
      <w:lang w:val="en-US"/>
    </w:rPr>
  </w:style>
  <w:style w:type="paragraph" w:customStyle="1" w:styleId="Akapitzlist1">
    <w:name w:val="Akapit z listą1"/>
    <w:basedOn w:val="Normalny"/>
    <w:rsid w:val="00E068F7"/>
    <w:pPr>
      <w:spacing w:line="276" w:lineRule="auto"/>
      <w:ind w:left="720"/>
      <w:contextualSpacing/>
    </w:pPr>
    <w:rPr>
      <w:rFonts w:ascii="Calibri" w:hAnsi="Calibri"/>
      <w:lang w:val="pl-PL"/>
    </w:rPr>
  </w:style>
  <w:style w:type="paragraph" w:customStyle="1" w:styleId="Akapitzlist2">
    <w:name w:val="Akapit z listą2"/>
    <w:basedOn w:val="Normalny"/>
    <w:rsid w:val="00E068F7"/>
    <w:pPr>
      <w:spacing w:line="276" w:lineRule="auto"/>
      <w:ind w:left="720"/>
      <w:contextualSpacing/>
    </w:pPr>
    <w:rPr>
      <w:rFonts w:ascii="Calibri" w:hAnsi="Calibri"/>
      <w:lang w:val="pl-PL"/>
    </w:rPr>
  </w:style>
  <w:style w:type="paragraph" w:styleId="Akapitzlist">
    <w:name w:val="List Paragraph"/>
    <w:basedOn w:val="Normalny"/>
    <w:uiPriority w:val="99"/>
    <w:qFormat/>
    <w:rsid w:val="00E068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F7"/>
    <w:rPr>
      <w:rFonts w:ascii="Segoe UI" w:eastAsia="Times New Roman" w:hAnsi="Segoe UI" w:cs="Segoe UI"/>
      <w:sz w:val="18"/>
      <w:szCs w:val="18"/>
      <w:lang w:val="en-US"/>
    </w:rPr>
  </w:style>
  <w:style w:type="character" w:styleId="Hipercze">
    <w:name w:val="Hyperlink"/>
    <w:uiPriority w:val="99"/>
    <w:rsid w:val="00F766E8"/>
    <w:rPr>
      <w:rFonts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66E8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B82"/>
    <w:rPr>
      <w:rFonts w:ascii="Cambria" w:eastAsia="Times New Roman" w:hAnsi="Cambria" w:cs="Times New Roman"/>
      <w:b/>
      <w:bCs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E3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0C"/>
    <w:rPr>
      <w:rFonts w:ascii="Cambria" w:eastAsia="Times New Roman" w:hAnsi="Cambria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8F7"/>
    <w:pPr>
      <w:spacing w:after="200" w:line="252" w:lineRule="auto"/>
    </w:pPr>
    <w:rPr>
      <w:rFonts w:ascii="Cambria" w:eastAsia="Times New Roman" w:hAnsi="Cambria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68F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68F7"/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paragraph" w:styleId="Tytu">
    <w:name w:val="Title"/>
    <w:basedOn w:val="Normalny"/>
    <w:next w:val="Normalny"/>
    <w:link w:val="TytuZnak"/>
    <w:uiPriority w:val="99"/>
    <w:qFormat/>
    <w:rsid w:val="00E068F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99"/>
    <w:rsid w:val="00E068F7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styleId="Odwoaniedokomentarza">
    <w:name w:val="annotation reference"/>
    <w:uiPriority w:val="99"/>
    <w:semiHidden/>
    <w:rsid w:val="00E068F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06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8F7"/>
    <w:rPr>
      <w:rFonts w:ascii="Cambria" w:eastAsia="Times New Roman" w:hAnsi="Cambria" w:cs="Times New Roman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rsid w:val="00E068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F7"/>
    <w:rPr>
      <w:rFonts w:ascii="Cambria" w:eastAsia="Times New Roman" w:hAnsi="Cambria" w:cs="Times New Roman"/>
      <w:lang w:val="en-US"/>
    </w:rPr>
  </w:style>
  <w:style w:type="paragraph" w:customStyle="1" w:styleId="Akapitzlist1">
    <w:name w:val="Akapit z listą1"/>
    <w:basedOn w:val="Normalny"/>
    <w:rsid w:val="00E068F7"/>
    <w:pPr>
      <w:spacing w:line="276" w:lineRule="auto"/>
      <w:ind w:left="720"/>
      <w:contextualSpacing/>
    </w:pPr>
    <w:rPr>
      <w:rFonts w:ascii="Calibri" w:hAnsi="Calibri"/>
      <w:lang w:val="pl-PL"/>
    </w:rPr>
  </w:style>
  <w:style w:type="paragraph" w:customStyle="1" w:styleId="Akapitzlist2">
    <w:name w:val="Akapit z listą2"/>
    <w:basedOn w:val="Normalny"/>
    <w:rsid w:val="00E068F7"/>
    <w:pPr>
      <w:spacing w:line="276" w:lineRule="auto"/>
      <w:ind w:left="720"/>
      <w:contextualSpacing/>
    </w:pPr>
    <w:rPr>
      <w:rFonts w:ascii="Calibri" w:hAnsi="Calibri"/>
      <w:lang w:val="pl-PL"/>
    </w:rPr>
  </w:style>
  <w:style w:type="paragraph" w:styleId="Akapitzlist">
    <w:name w:val="List Paragraph"/>
    <w:basedOn w:val="Normalny"/>
    <w:uiPriority w:val="99"/>
    <w:qFormat/>
    <w:rsid w:val="00E068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F7"/>
    <w:rPr>
      <w:rFonts w:ascii="Segoe UI" w:eastAsia="Times New Roman" w:hAnsi="Segoe UI" w:cs="Segoe UI"/>
      <w:sz w:val="18"/>
      <w:szCs w:val="18"/>
      <w:lang w:val="en-US"/>
    </w:rPr>
  </w:style>
  <w:style w:type="character" w:styleId="Hipercze">
    <w:name w:val="Hyperlink"/>
    <w:uiPriority w:val="99"/>
    <w:rsid w:val="00F766E8"/>
    <w:rPr>
      <w:rFonts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66E8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B82"/>
    <w:rPr>
      <w:rFonts w:ascii="Cambria" w:eastAsia="Times New Roman" w:hAnsi="Cambria" w:cs="Times New Roman"/>
      <w:b/>
      <w:bCs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E3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E0C"/>
    <w:rPr>
      <w:rFonts w:ascii="Cambria" w:eastAsia="Times New Roman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dfm.gdos.gov.pl/natur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zary.gorczynski@g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720C5-6992-4E82-A2DE-545154D8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Gorczynski</dc:creator>
  <cp:keywords/>
  <dc:description/>
  <cp:lastModifiedBy>Bogusław Sielawa</cp:lastModifiedBy>
  <cp:revision>16</cp:revision>
  <dcterms:created xsi:type="dcterms:W3CDTF">2015-06-22T12:54:00Z</dcterms:created>
  <dcterms:modified xsi:type="dcterms:W3CDTF">2015-07-02T07:03:00Z</dcterms:modified>
</cp:coreProperties>
</file>